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B08B" w14:textId="77777777" w:rsidR="00E213FD" w:rsidRDefault="00E213FD"/>
    <w:tbl>
      <w:tblPr>
        <w:tblStyle w:val="TableGrid"/>
        <w:tblW w:w="10518" w:type="dxa"/>
        <w:tblLayout w:type="fixed"/>
        <w:tblLook w:val="04A0" w:firstRow="1" w:lastRow="0" w:firstColumn="1" w:lastColumn="0" w:noHBand="0" w:noVBand="1"/>
      </w:tblPr>
      <w:tblGrid>
        <w:gridCol w:w="10518"/>
      </w:tblGrid>
      <w:tr w:rsidR="00A518D7" w:rsidRPr="003F1BE7" w14:paraId="7BB19453" w14:textId="77777777" w:rsidTr="00E213FD">
        <w:tc>
          <w:tcPr>
            <w:tcW w:w="10518" w:type="dxa"/>
            <w:shd w:val="clear" w:color="auto" w:fill="E8E3DB"/>
            <w:tcMar>
              <w:top w:w="170" w:type="dxa"/>
              <w:left w:w="170" w:type="dxa"/>
              <w:bottom w:w="170" w:type="dxa"/>
              <w:right w:w="170" w:type="dxa"/>
            </w:tcMar>
          </w:tcPr>
          <w:p w14:paraId="62F8F4F2" w14:textId="00154187" w:rsidR="00FE19B1" w:rsidRDefault="00FE19B1" w:rsidP="001454EF">
            <w:pPr>
              <w:spacing w:before="120" w:after="120" w:line="276" w:lineRule="auto"/>
              <w:rPr>
                <w:rFonts w:eastAsia="Times New Roman" w:cstheme="minorHAnsi"/>
                <w:szCs w:val="20"/>
              </w:rPr>
            </w:pPr>
            <w:r>
              <w:rPr>
                <w:rFonts w:eastAsia="Times New Roman" w:cstheme="minorHAnsi"/>
                <w:szCs w:val="20"/>
              </w:rPr>
              <w:t>This information is for candidates who have been approved for admission to an ACU Higher Degree Research (HDR) program and who are currently residing overseas.</w:t>
            </w:r>
          </w:p>
          <w:p w14:paraId="79FB5728" w14:textId="3316D029" w:rsidR="00FE19B1" w:rsidRPr="009A4292" w:rsidRDefault="00FE19B1" w:rsidP="001454EF">
            <w:pPr>
              <w:spacing w:before="120" w:after="120" w:line="276" w:lineRule="auto"/>
              <w:rPr>
                <w:rFonts w:eastAsia="Times New Roman" w:cstheme="minorHAnsi"/>
                <w:szCs w:val="20"/>
              </w:rPr>
            </w:pPr>
            <w:r w:rsidRPr="009A4292">
              <w:rPr>
                <w:rFonts w:eastAsia="Times New Roman" w:cstheme="minorHAnsi"/>
                <w:szCs w:val="20"/>
              </w:rPr>
              <w:t>In response to the threat of COVID-19, the Australian Government closed the country’s border and limited entry to Australian citizens and permanent residents only. Holders of any other visa can only travel to Australia if they hold an approved travel exemption from the Department of Home Affairs and it is unclear when this policy will change.</w:t>
            </w:r>
            <w:r w:rsidR="00A46DEA">
              <w:rPr>
                <w:rFonts w:eastAsia="Times New Roman" w:cstheme="minorHAnsi"/>
                <w:szCs w:val="20"/>
              </w:rPr>
              <w:t xml:space="preserve"> The latest travel restriction information can be found on the </w:t>
            </w:r>
            <w:hyperlink r:id="rId8" w:history="1">
              <w:r w:rsidR="00A46DEA" w:rsidRPr="00A46DEA">
                <w:rPr>
                  <w:rStyle w:val="Hyperlink"/>
                  <w:rFonts w:eastAsia="Times New Roman" w:cstheme="minorHAnsi"/>
                  <w:szCs w:val="20"/>
                </w:rPr>
                <w:t>DHA website</w:t>
              </w:r>
            </w:hyperlink>
            <w:r w:rsidR="00A46DEA">
              <w:rPr>
                <w:rFonts w:eastAsia="Times New Roman" w:cstheme="minorHAnsi"/>
                <w:szCs w:val="20"/>
              </w:rPr>
              <w:t>.</w:t>
            </w:r>
          </w:p>
          <w:p w14:paraId="09A65D0A" w14:textId="0A52BD6B" w:rsidR="00FE19B1" w:rsidRPr="009A4292" w:rsidRDefault="00FE19B1" w:rsidP="00FE19B1">
            <w:pPr>
              <w:spacing w:before="120" w:after="120" w:line="276" w:lineRule="auto"/>
              <w:rPr>
                <w:rFonts w:eastAsia="Times New Roman" w:cstheme="minorHAnsi"/>
                <w:szCs w:val="20"/>
              </w:rPr>
            </w:pPr>
            <w:r w:rsidRPr="009A4292">
              <w:rPr>
                <w:rFonts w:eastAsia="Times New Roman" w:cstheme="minorHAnsi"/>
                <w:szCs w:val="20"/>
              </w:rPr>
              <w:t xml:space="preserve">As an international Higher Degree Research </w:t>
            </w:r>
            <w:r w:rsidR="009A4292" w:rsidRPr="009A4292">
              <w:rPr>
                <w:rFonts w:eastAsia="Times New Roman" w:cstheme="minorHAnsi"/>
                <w:szCs w:val="20"/>
              </w:rPr>
              <w:t>candidate,</w:t>
            </w:r>
            <w:r w:rsidRPr="009A4292">
              <w:rPr>
                <w:rFonts w:eastAsia="Times New Roman" w:cstheme="minorHAnsi"/>
                <w:szCs w:val="20"/>
              </w:rPr>
              <w:t xml:space="preserve"> you are not currently permitted to travel to Australia to take up your place at ACU.  The information </w:t>
            </w:r>
            <w:r w:rsidR="00261DA4" w:rsidRPr="009A4292">
              <w:rPr>
                <w:rFonts w:eastAsia="Times New Roman" w:cstheme="minorHAnsi"/>
                <w:szCs w:val="20"/>
              </w:rPr>
              <w:t>below</w:t>
            </w:r>
            <w:r w:rsidRPr="009A4292">
              <w:rPr>
                <w:rFonts w:eastAsia="Times New Roman" w:cstheme="minorHAnsi"/>
                <w:szCs w:val="20"/>
              </w:rPr>
              <w:t xml:space="preserve"> </w:t>
            </w:r>
            <w:r w:rsidR="00261DA4" w:rsidRPr="009A4292">
              <w:rPr>
                <w:rFonts w:eastAsia="Times New Roman" w:cstheme="minorHAnsi"/>
                <w:szCs w:val="20"/>
              </w:rPr>
              <w:t xml:space="preserve">outlines various mechanisms </w:t>
            </w:r>
            <w:r w:rsidR="000A2FD5" w:rsidRPr="009A4292">
              <w:rPr>
                <w:rFonts w:eastAsia="Times New Roman" w:cstheme="minorHAnsi"/>
                <w:szCs w:val="20"/>
              </w:rPr>
              <w:t xml:space="preserve">and options available to you and is designed to </w:t>
            </w:r>
            <w:r w:rsidRPr="009A4292">
              <w:rPr>
                <w:rFonts w:eastAsia="Times New Roman" w:cstheme="minorHAnsi"/>
                <w:szCs w:val="20"/>
              </w:rPr>
              <w:t xml:space="preserve">assist you in deciding next steps for your HDR program enrolment.   </w:t>
            </w:r>
          </w:p>
          <w:p w14:paraId="4082F9AF" w14:textId="654F19A6" w:rsidR="00EE1ED9" w:rsidRPr="003F1BE7" w:rsidRDefault="00FE19B1" w:rsidP="001454EF">
            <w:pPr>
              <w:spacing w:before="120" w:after="120" w:line="276" w:lineRule="auto"/>
              <w:rPr>
                <w:rFonts w:eastAsia="Times New Roman" w:cstheme="minorHAnsi"/>
                <w:szCs w:val="20"/>
              </w:rPr>
            </w:pPr>
            <w:r>
              <w:rPr>
                <w:rFonts w:eastAsia="Times New Roman" w:cstheme="minorHAnsi"/>
                <w:szCs w:val="20"/>
              </w:rPr>
              <w:t>We recommend that you review the information and discuss your options</w:t>
            </w:r>
            <w:r w:rsidR="001454EF">
              <w:rPr>
                <w:rFonts w:eastAsia="Times New Roman" w:cstheme="minorHAnsi"/>
                <w:szCs w:val="20"/>
              </w:rPr>
              <w:t xml:space="preserve"> </w:t>
            </w:r>
            <w:r w:rsidR="001454EF" w:rsidRPr="00FE19B1">
              <w:rPr>
                <w:rFonts w:eastAsia="Times New Roman" w:cstheme="minorHAnsi"/>
                <w:szCs w:val="20"/>
              </w:rPr>
              <w:t xml:space="preserve">with </w:t>
            </w:r>
            <w:r w:rsidRPr="00FE19B1">
              <w:rPr>
                <w:rFonts w:eastAsia="Times New Roman" w:cstheme="minorHAnsi"/>
                <w:szCs w:val="20"/>
              </w:rPr>
              <w:t>your</w:t>
            </w:r>
            <w:r w:rsidR="001454EF" w:rsidRPr="00FE19B1">
              <w:rPr>
                <w:rFonts w:eastAsia="Times New Roman" w:cstheme="minorHAnsi"/>
                <w:szCs w:val="20"/>
              </w:rPr>
              <w:t xml:space="preserve"> </w:t>
            </w:r>
            <w:r w:rsidRPr="00FE19B1">
              <w:rPr>
                <w:rFonts w:eastAsia="Times New Roman" w:cstheme="minorHAnsi"/>
                <w:szCs w:val="20"/>
              </w:rPr>
              <w:t xml:space="preserve">approved </w:t>
            </w:r>
            <w:r w:rsidR="001454EF" w:rsidRPr="00FE19B1">
              <w:rPr>
                <w:rFonts w:eastAsia="Times New Roman" w:cstheme="minorHAnsi"/>
                <w:szCs w:val="20"/>
              </w:rPr>
              <w:t>supervisor</w:t>
            </w:r>
            <w:r w:rsidRPr="00FE19B1">
              <w:rPr>
                <w:rFonts w:eastAsia="Times New Roman" w:cstheme="minorHAnsi"/>
                <w:szCs w:val="20"/>
              </w:rPr>
              <w:t xml:space="preserve">y </w:t>
            </w:r>
            <w:r w:rsidR="00695CB4" w:rsidRPr="00FE19B1">
              <w:rPr>
                <w:rFonts w:eastAsia="Times New Roman" w:cstheme="minorHAnsi"/>
                <w:szCs w:val="20"/>
              </w:rPr>
              <w:t>team</w:t>
            </w:r>
            <w:r w:rsidR="001454EF">
              <w:rPr>
                <w:rFonts w:eastAsia="Times New Roman" w:cstheme="minorHAnsi"/>
                <w:szCs w:val="20"/>
              </w:rPr>
              <w:t xml:space="preserve"> </w:t>
            </w:r>
            <w:r w:rsidR="00261DA4">
              <w:rPr>
                <w:rFonts w:eastAsia="Times New Roman" w:cstheme="minorHAnsi"/>
                <w:szCs w:val="20"/>
              </w:rPr>
              <w:t>in the first instance</w:t>
            </w:r>
            <w:r w:rsidR="00695CB4">
              <w:rPr>
                <w:rFonts w:eastAsia="Times New Roman" w:cstheme="minorHAnsi"/>
                <w:szCs w:val="20"/>
              </w:rPr>
              <w:t xml:space="preserve">. </w:t>
            </w:r>
          </w:p>
        </w:tc>
      </w:tr>
    </w:tbl>
    <w:p w14:paraId="6694279D" w14:textId="77777777" w:rsidR="00A518D7" w:rsidRPr="00EE1ED9" w:rsidRDefault="00A518D7" w:rsidP="002B3851">
      <w:pPr>
        <w:spacing w:after="0"/>
        <w:rPr>
          <w:rFonts w:cstheme="minorHAnsi"/>
          <w:sz w:val="15"/>
          <w:szCs w:val="15"/>
        </w:rPr>
      </w:pPr>
    </w:p>
    <w:tbl>
      <w:tblPr>
        <w:tblStyle w:val="TableGrid"/>
        <w:tblW w:w="10461" w:type="dxa"/>
        <w:tblInd w:w="-5" w:type="dxa"/>
        <w:tblLayout w:type="fixed"/>
        <w:tblLook w:val="04A0" w:firstRow="1" w:lastRow="0" w:firstColumn="1" w:lastColumn="0" w:noHBand="0" w:noVBand="1"/>
      </w:tblPr>
      <w:tblGrid>
        <w:gridCol w:w="10461"/>
      </w:tblGrid>
      <w:tr w:rsidR="00B73C79" w:rsidRPr="003F1BE7" w14:paraId="66FE65C7" w14:textId="77777777" w:rsidTr="001243CC">
        <w:tc>
          <w:tcPr>
            <w:tcW w:w="10461" w:type="dxa"/>
            <w:shd w:val="clear" w:color="auto" w:fill="3C1053"/>
            <w:tcMar>
              <w:top w:w="17" w:type="dxa"/>
              <w:bottom w:w="17" w:type="dxa"/>
            </w:tcMar>
          </w:tcPr>
          <w:p w14:paraId="5CC0AECA" w14:textId="54C0466A" w:rsidR="00B73C79" w:rsidRPr="003F1BE7" w:rsidRDefault="00261DA4" w:rsidP="000C428B">
            <w:pPr>
              <w:spacing w:line="259" w:lineRule="auto"/>
              <w:rPr>
                <w:rFonts w:cstheme="minorHAnsi"/>
                <w:sz w:val="20"/>
                <w:szCs w:val="20"/>
              </w:rPr>
            </w:pPr>
            <w:r>
              <w:rPr>
                <w:rFonts w:cstheme="minorHAnsi"/>
                <w:b/>
                <w:color w:val="FFFFFF" w:themeColor="background1"/>
              </w:rPr>
              <w:t>Temporary o</w:t>
            </w:r>
            <w:r w:rsidR="00C517D2">
              <w:rPr>
                <w:rFonts w:cstheme="minorHAnsi"/>
                <w:b/>
                <w:color w:val="FFFFFF" w:themeColor="background1"/>
              </w:rPr>
              <w:t xml:space="preserve">ffshore </w:t>
            </w:r>
            <w:r>
              <w:rPr>
                <w:rFonts w:cstheme="minorHAnsi"/>
                <w:b/>
                <w:color w:val="FFFFFF" w:themeColor="background1"/>
              </w:rPr>
              <w:t>c</w:t>
            </w:r>
            <w:r w:rsidR="00C517D2">
              <w:rPr>
                <w:rFonts w:cstheme="minorHAnsi"/>
                <w:b/>
                <w:color w:val="FFFFFF" w:themeColor="background1"/>
              </w:rPr>
              <w:t xml:space="preserve">ommencement </w:t>
            </w:r>
            <w:r>
              <w:rPr>
                <w:rFonts w:cstheme="minorHAnsi"/>
                <w:b/>
                <w:color w:val="FFFFFF" w:themeColor="background1"/>
              </w:rPr>
              <w:t xml:space="preserve">of enrolment in </w:t>
            </w:r>
            <w:r w:rsidR="004C7D8E">
              <w:rPr>
                <w:rFonts w:cstheme="minorHAnsi"/>
                <w:b/>
                <w:color w:val="FFFFFF" w:themeColor="background1"/>
              </w:rPr>
              <w:t>an</w:t>
            </w:r>
            <w:r>
              <w:rPr>
                <w:rFonts w:cstheme="minorHAnsi"/>
                <w:b/>
                <w:color w:val="FFFFFF" w:themeColor="background1"/>
              </w:rPr>
              <w:t xml:space="preserve"> ACU HDR program</w:t>
            </w:r>
          </w:p>
        </w:tc>
      </w:tr>
      <w:tr w:rsidR="001454EF" w:rsidRPr="003F1BE7" w14:paraId="536E8CF2" w14:textId="3F2C8670" w:rsidTr="00CD4897">
        <w:trPr>
          <w:trHeight w:val="689"/>
        </w:trPr>
        <w:tc>
          <w:tcPr>
            <w:tcW w:w="10461" w:type="dxa"/>
            <w:tcMar>
              <w:top w:w="17" w:type="dxa"/>
              <w:bottom w:w="17" w:type="dxa"/>
            </w:tcMar>
          </w:tcPr>
          <w:p w14:paraId="4FF81A5B" w14:textId="651CA039" w:rsidR="00261DA4" w:rsidRDefault="00261DA4" w:rsidP="002942F5">
            <w:pPr>
              <w:rPr>
                <w:rFonts w:cstheme="minorHAnsi"/>
              </w:rPr>
            </w:pPr>
          </w:p>
          <w:p w14:paraId="21BDFC04" w14:textId="11B5A10E" w:rsidR="000A2FD5" w:rsidRDefault="000A2FD5" w:rsidP="002942F5">
            <w:pPr>
              <w:rPr>
                <w:rFonts w:cstheme="minorHAnsi"/>
              </w:rPr>
            </w:pPr>
            <w:r>
              <w:rPr>
                <w:rFonts w:cstheme="minorHAnsi"/>
              </w:rPr>
              <w:t xml:space="preserve">HDR candidates who have been approved for admission </w:t>
            </w:r>
            <w:r w:rsidR="004C7D8E">
              <w:rPr>
                <w:rFonts w:cstheme="minorHAnsi"/>
              </w:rPr>
              <w:t>and</w:t>
            </w:r>
            <w:r>
              <w:rPr>
                <w:rFonts w:cstheme="minorHAnsi"/>
              </w:rPr>
              <w:t xml:space="preserve"> who are unable to travel to Australia because of the border closures may apply to the University for temporary offshore commencement of their HDR program.</w:t>
            </w:r>
          </w:p>
          <w:p w14:paraId="24C5E32E" w14:textId="77777777" w:rsidR="004C7D8E" w:rsidRDefault="004C7D8E" w:rsidP="002942F5">
            <w:pPr>
              <w:rPr>
                <w:rFonts w:eastAsia="Times New Roman" w:cstheme="minorHAnsi"/>
                <w:szCs w:val="20"/>
              </w:rPr>
            </w:pPr>
          </w:p>
          <w:p w14:paraId="7FF04E21" w14:textId="3C9B3C90" w:rsidR="004C7D8E" w:rsidRDefault="004C7D8E" w:rsidP="002942F5">
            <w:pPr>
              <w:rPr>
                <w:rFonts w:eastAsia="Times New Roman" w:cstheme="minorHAnsi"/>
                <w:szCs w:val="20"/>
              </w:rPr>
            </w:pPr>
            <w:r w:rsidRPr="003F1BE7">
              <w:rPr>
                <w:rFonts w:eastAsia="Times New Roman" w:cstheme="minorHAnsi"/>
                <w:szCs w:val="20"/>
              </w:rPr>
              <w:t xml:space="preserve">Applications </w:t>
            </w:r>
            <w:r>
              <w:rPr>
                <w:rFonts w:eastAsia="Times New Roman" w:cstheme="minorHAnsi"/>
                <w:szCs w:val="20"/>
              </w:rPr>
              <w:t xml:space="preserve">for temporary offshore commencement are </w:t>
            </w:r>
            <w:r w:rsidR="00EC4FD3">
              <w:rPr>
                <w:rFonts w:eastAsia="Times New Roman" w:cstheme="minorHAnsi"/>
                <w:szCs w:val="20"/>
              </w:rPr>
              <w:t>considered</w:t>
            </w:r>
            <w:r w:rsidRPr="003F1BE7">
              <w:rPr>
                <w:rFonts w:eastAsia="Times New Roman" w:cstheme="minorHAnsi"/>
                <w:szCs w:val="20"/>
              </w:rPr>
              <w:t xml:space="preserve"> by the University on a case-by-case basis</w:t>
            </w:r>
            <w:r>
              <w:rPr>
                <w:rFonts w:eastAsia="Times New Roman" w:cstheme="minorHAnsi"/>
                <w:szCs w:val="20"/>
              </w:rPr>
              <w:t xml:space="preserve"> and will depend upon the candidate’s current location</w:t>
            </w:r>
            <w:r w:rsidR="00EC4FD3">
              <w:rPr>
                <w:rFonts w:eastAsia="Times New Roman" w:cstheme="minorHAnsi"/>
                <w:szCs w:val="20"/>
              </w:rPr>
              <w:t xml:space="preserve"> and circumstances</w:t>
            </w:r>
            <w:r>
              <w:rPr>
                <w:rFonts w:eastAsia="Times New Roman" w:cstheme="minorHAnsi"/>
                <w:szCs w:val="20"/>
              </w:rPr>
              <w:t>, the feasibility of the candidate’s program of research from an offshore location, and supervisory support amongst other considerations.</w:t>
            </w:r>
          </w:p>
          <w:p w14:paraId="344D15D6" w14:textId="77777777" w:rsidR="004C7D8E" w:rsidRDefault="004C7D8E" w:rsidP="002942F5">
            <w:pPr>
              <w:rPr>
                <w:rFonts w:cstheme="minorHAnsi"/>
              </w:rPr>
            </w:pPr>
          </w:p>
          <w:p w14:paraId="6FEBF951" w14:textId="4850CA1B" w:rsidR="00CD4897" w:rsidRDefault="004C7D8E" w:rsidP="002942F5">
            <w:pPr>
              <w:rPr>
                <w:rFonts w:cstheme="minorHAnsi"/>
              </w:rPr>
            </w:pPr>
            <w:r>
              <w:rPr>
                <w:rFonts w:cstheme="minorHAnsi"/>
              </w:rPr>
              <w:t xml:space="preserve">If approved, temporary offshore commencement </w:t>
            </w:r>
            <w:r w:rsidR="00EC4FD3">
              <w:rPr>
                <w:rFonts w:cstheme="minorHAnsi"/>
              </w:rPr>
              <w:t>may</w:t>
            </w:r>
            <w:r>
              <w:rPr>
                <w:rFonts w:cstheme="minorHAnsi"/>
              </w:rPr>
              <w:t xml:space="preserve"> </w:t>
            </w:r>
            <w:r w:rsidR="00F67CC0">
              <w:rPr>
                <w:rFonts w:cstheme="minorHAnsi"/>
              </w:rPr>
              <w:t xml:space="preserve">normally </w:t>
            </w:r>
            <w:r w:rsidR="007B69E9">
              <w:rPr>
                <w:rFonts w:cstheme="minorHAnsi"/>
              </w:rPr>
              <w:t xml:space="preserve">only </w:t>
            </w:r>
            <w:r>
              <w:rPr>
                <w:rFonts w:cstheme="minorHAnsi"/>
              </w:rPr>
              <w:t>be undertaken</w:t>
            </w:r>
            <w:r w:rsidR="00CE5C0C">
              <w:rPr>
                <w:rFonts w:cstheme="minorHAnsi"/>
              </w:rPr>
              <w:t xml:space="preserve"> </w:t>
            </w:r>
            <w:r>
              <w:rPr>
                <w:rFonts w:cstheme="minorHAnsi"/>
              </w:rPr>
              <w:t xml:space="preserve">on a part-time study-mode and candidates must possess </w:t>
            </w:r>
            <w:r w:rsidR="00EC4FD3">
              <w:rPr>
                <w:rFonts w:cstheme="minorHAnsi"/>
              </w:rPr>
              <w:t>a valid</w:t>
            </w:r>
            <w:r>
              <w:rPr>
                <w:rFonts w:cstheme="minorHAnsi"/>
              </w:rPr>
              <w:t xml:space="preserve"> Australian student visa before offshore enrolment can commence. </w:t>
            </w:r>
            <w:r w:rsidR="005B3EE3">
              <w:rPr>
                <w:rFonts w:cstheme="minorHAnsi"/>
              </w:rPr>
              <w:t xml:space="preserve"> </w:t>
            </w:r>
          </w:p>
          <w:p w14:paraId="0C0A3072" w14:textId="3221AEAE" w:rsidR="00CD4897" w:rsidRDefault="00161A82" w:rsidP="00CD4897">
            <w:pPr>
              <w:spacing w:before="120" w:after="120" w:line="276" w:lineRule="auto"/>
              <w:rPr>
                <w:rFonts w:eastAsia="Times New Roman" w:cstheme="minorHAnsi"/>
                <w:szCs w:val="20"/>
              </w:rPr>
            </w:pPr>
            <w:r>
              <w:rPr>
                <w:rFonts w:eastAsia="Times New Roman" w:cstheme="minorHAnsi"/>
                <w:szCs w:val="20"/>
              </w:rPr>
              <w:t>If applying for temporary offshore commencement of enrolment</w:t>
            </w:r>
            <w:r w:rsidR="00CD4897">
              <w:rPr>
                <w:rFonts w:eastAsia="Times New Roman" w:cstheme="minorHAnsi"/>
                <w:szCs w:val="20"/>
              </w:rPr>
              <w:t xml:space="preserve">, candidates and their supervisors will be asked to detail how candidature enrolment (research project, supervision, </w:t>
            </w:r>
            <w:proofErr w:type="gramStart"/>
            <w:r w:rsidR="00CD4897">
              <w:rPr>
                <w:rFonts w:eastAsia="Times New Roman" w:cstheme="minorHAnsi"/>
                <w:szCs w:val="20"/>
              </w:rPr>
              <w:t>milestones</w:t>
            </w:r>
            <w:proofErr w:type="gramEnd"/>
            <w:r w:rsidR="00CD4897">
              <w:rPr>
                <w:rFonts w:eastAsia="Times New Roman" w:cstheme="minorHAnsi"/>
                <w:szCs w:val="20"/>
              </w:rPr>
              <w:t xml:space="preserve"> and ethics approvals) would be</w:t>
            </w:r>
            <w:r w:rsidR="00CD4897" w:rsidRPr="00CD4897">
              <w:rPr>
                <w:rFonts w:eastAsia="Times New Roman" w:cstheme="minorHAnsi"/>
                <w:szCs w:val="20"/>
              </w:rPr>
              <w:t xml:space="preserve"> successfully managed over a period of 12 calendar months from proposed date of commencement. </w:t>
            </w:r>
            <w:r w:rsidR="00CD4897">
              <w:rPr>
                <w:rFonts w:eastAsia="Times New Roman" w:cstheme="minorHAnsi"/>
                <w:szCs w:val="20"/>
              </w:rPr>
              <w:t xml:space="preserve">The mapping of a </w:t>
            </w:r>
            <w:proofErr w:type="gramStart"/>
            <w:r w:rsidR="00CD4897">
              <w:rPr>
                <w:rFonts w:eastAsia="Times New Roman" w:cstheme="minorHAnsi"/>
                <w:szCs w:val="20"/>
              </w:rPr>
              <w:t>12 month</w:t>
            </w:r>
            <w:proofErr w:type="gramEnd"/>
            <w:r w:rsidR="00CD4897">
              <w:rPr>
                <w:rFonts w:eastAsia="Times New Roman" w:cstheme="minorHAnsi"/>
                <w:szCs w:val="20"/>
              </w:rPr>
              <w:t xml:space="preserve"> timeframe allows the candidate and supervisors to carefully consider the practicalities of an offshore enrolment and assists the university in assessing the feasibility</w:t>
            </w:r>
          </w:p>
          <w:p w14:paraId="34364528" w14:textId="17388F45" w:rsidR="00CD4897" w:rsidRDefault="00CD4897" w:rsidP="00CD4897">
            <w:pPr>
              <w:spacing w:before="120" w:after="120" w:line="276" w:lineRule="auto"/>
              <w:rPr>
                <w:rFonts w:cstheme="minorHAnsi"/>
              </w:rPr>
            </w:pPr>
            <w:r>
              <w:rPr>
                <w:rFonts w:eastAsia="Times New Roman" w:cstheme="minorHAnsi"/>
                <w:szCs w:val="20"/>
              </w:rPr>
              <w:t xml:space="preserve">If an offshore enrolment request is approved, </w:t>
            </w:r>
            <w:r w:rsidRPr="00CD4897">
              <w:rPr>
                <w:rFonts w:eastAsia="Times New Roman" w:cstheme="minorHAnsi"/>
                <w:szCs w:val="20"/>
              </w:rPr>
              <w:t xml:space="preserve">the initial approved duration </w:t>
            </w:r>
            <w:r>
              <w:rPr>
                <w:rFonts w:eastAsia="Times New Roman" w:cstheme="minorHAnsi"/>
                <w:szCs w:val="20"/>
              </w:rPr>
              <w:t>would be</w:t>
            </w:r>
            <w:r w:rsidRPr="00CD4897">
              <w:rPr>
                <w:rFonts w:eastAsia="Times New Roman" w:cstheme="minorHAnsi"/>
                <w:szCs w:val="20"/>
              </w:rPr>
              <w:t xml:space="preserve"> for six (6) calendar months</w:t>
            </w:r>
            <w:r>
              <w:rPr>
                <w:rFonts w:eastAsia="Times New Roman" w:cstheme="minorHAnsi"/>
                <w:szCs w:val="20"/>
              </w:rPr>
              <w:t xml:space="preserve">, </w:t>
            </w:r>
            <w:r w:rsidR="004C7D8E">
              <w:rPr>
                <w:rFonts w:cstheme="minorHAnsi"/>
              </w:rPr>
              <w:t xml:space="preserve">though candidates may apply to the University for further </w:t>
            </w:r>
            <w:r w:rsidR="00EC4FD3">
              <w:rPr>
                <w:rFonts w:cstheme="minorHAnsi"/>
              </w:rPr>
              <w:t xml:space="preserve">temporary </w:t>
            </w:r>
            <w:r w:rsidR="004C7D8E">
              <w:rPr>
                <w:rFonts w:cstheme="minorHAnsi"/>
              </w:rPr>
              <w:t>offshore enrolment</w:t>
            </w:r>
            <w:r w:rsidR="00EC4FD3">
              <w:rPr>
                <w:rFonts w:cstheme="minorHAnsi"/>
              </w:rPr>
              <w:t xml:space="preserve"> if, at that time, travel is still not permitted to Australia</w:t>
            </w:r>
            <w:r w:rsidR="004C7D8E">
              <w:rPr>
                <w:rFonts w:cstheme="minorHAnsi"/>
              </w:rPr>
              <w:t xml:space="preserve">. </w:t>
            </w:r>
            <w:r w:rsidR="00EC4FD3">
              <w:rPr>
                <w:rFonts w:cstheme="minorHAnsi"/>
              </w:rPr>
              <w:t>R</w:t>
            </w:r>
            <w:r w:rsidR="004C7D8E">
              <w:rPr>
                <w:rFonts w:cstheme="minorHAnsi"/>
              </w:rPr>
              <w:t>eq</w:t>
            </w:r>
            <w:r w:rsidR="00EC4FD3">
              <w:rPr>
                <w:rFonts w:cstheme="minorHAnsi"/>
              </w:rPr>
              <w:t>u</w:t>
            </w:r>
            <w:r w:rsidR="004C7D8E">
              <w:rPr>
                <w:rFonts w:cstheme="minorHAnsi"/>
              </w:rPr>
              <w:t xml:space="preserve">ests </w:t>
            </w:r>
            <w:r w:rsidR="00EC4FD3">
              <w:rPr>
                <w:rFonts w:cstheme="minorHAnsi"/>
              </w:rPr>
              <w:t>for further temporary offshore enrolment would</w:t>
            </w:r>
            <w:r w:rsidR="004C7D8E">
              <w:rPr>
                <w:rFonts w:cstheme="minorHAnsi"/>
              </w:rPr>
              <w:t xml:space="preserve"> also be considered on a </w:t>
            </w:r>
            <w:r w:rsidR="009A4292">
              <w:rPr>
                <w:rFonts w:cstheme="minorHAnsi"/>
              </w:rPr>
              <w:t>case-by-case</w:t>
            </w:r>
            <w:r w:rsidR="004C7D8E">
              <w:rPr>
                <w:rFonts w:cstheme="minorHAnsi"/>
              </w:rPr>
              <w:t xml:space="preserve"> basis. </w:t>
            </w:r>
          </w:p>
          <w:p w14:paraId="57A944A7" w14:textId="36A00BCF" w:rsidR="00E213FD" w:rsidRPr="00E213FD" w:rsidRDefault="00E213FD" w:rsidP="00B05DB0">
            <w:pPr>
              <w:spacing w:before="120" w:after="120" w:line="276" w:lineRule="auto"/>
              <w:rPr>
                <w:rFonts w:eastAsia="Times New Roman" w:cstheme="minorHAnsi"/>
                <w:szCs w:val="20"/>
              </w:rPr>
            </w:pPr>
            <w:r>
              <w:rPr>
                <w:rFonts w:ascii="Calibri" w:hAnsi="Calibri" w:cs="Calibri"/>
                <w:lang w:val="en-GB"/>
              </w:rPr>
              <w:t>C</w:t>
            </w:r>
            <w:r w:rsidRPr="00B05DB0">
              <w:rPr>
                <w:rFonts w:ascii="Calibri" w:hAnsi="Calibri" w:cs="Calibri"/>
                <w:lang w:val="en-GB"/>
              </w:rPr>
              <w:t>andidates who are approved for temporary part-time offshore study load must change to full-time load as soon as they arrive onshore in Australia</w:t>
            </w:r>
            <w:r w:rsidR="00B05DB0">
              <w:rPr>
                <w:rFonts w:ascii="Calibri" w:hAnsi="Calibri" w:cs="Calibri"/>
                <w:lang w:val="en-GB"/>
              </w:rPr>
              <w:t>.</w:t>
            </w:r>
          </w:p>
          <w:p w14:paraId="13BBA73E" w14:textId="0D479FF0" w:rsidR="00E213FD" w:rsidRPr="00E213FD" w:rsidRDefault="00E213FD" w:rsidP="00B05DB0">
            <w:pPr>
              <w:spacing w:before="120" w:after="120" w:line="276" w:lineRule="auto"/>
              <w:rPr>
                <w:rFonts w:eastAsia="Times New Roman" w:cstheme="minorHAnsi"/>
                <w:szCs w:val="20"/>
              </w:rPr>
            </w:pPr>
            <w:r>
              <w:rPr>
                <w:rFonts w:ascii="Calibri" w:hAnsi="Calibri" w:cs="Calibri"/>
                <w:lang w:val="en-GB"/>
              </w:rPr>
              <w:lastRenderedPageBreak/>
              <w:t>C</w:t>
            </w:r>
            <w:r w:rsidRPr="00B05DB0">
              <w:rPr>
                <w:rFonts w:ascii="Calibri" w:hAnsi="Calibri" w:cs="Calibri"/>
                <w:lang w:val="en-GB"/>
              </w:rPr>
              <w:t xml:space="preserve">andidates who commence offshore on a part-time study load may find, once they’re onshore, that they need to apply for an </w:t>
            </w:r>
            <w:proofErr w:type="spellStart"/>
            <w:r w:rsidRPr="00B05DB0">
              <w:rPr>
                <w:rFonts w:ascii="Calibri" w:hAnsi="Calibri" w:cs="Calibri"/>
                <w:lang w:val="en-GB"/>
              </w:rPr>
              <w:t>eCoE</w:t>
            </w:r>
            <w:proofErr w:type="spellEnd"/>
            <w:r w:rsidRPr="00B05DB0">
              <w:rPr>
                <w:rFonts w:ascii="Calibri" w:hAnsi="Calibri" w:cs="Calibri"/>
                <w:lang w:val="en-GB"/>
              </w:rPr>
              <w:t xml:space="preserve"> and visa extension (ACU’s international student advisors can provide guidance on </w:t>
            </w:r>
            <w:proofErr w:type="spellStart"/>
            <w:r w:rsidRPr="00B05DB0">
              <w:rPr>
                <w:rFonts w:ascii="Calibri" w:hAnsi="Calibri" w:cs="Calibri"/>
                <w:lang w:val="en-GB"/>
              </w:rPr>
              <w:t>eCoE</w:t>
            </w:r>
            <w:proofErr w:type="spellEnd"/>
            <w:r w:rsidRPr="00B05DB0">
              <w:rPr>
                <w:rFonts w:ascii="Calibri" w:hAnsi="Calibri" w:cs="Calibri"/>
                <w:lang w:val="en-GB"/>
              </w:rPr>
              <w:t xml:space="preserve"> and visa extensions when required)</w:t>
            </w:r>
            <w:r w:rsidR="00B05DB0">
              <w:rPr>
                <w:rFonts w:ascii="Calibri" w:hAnsi="Calibri" w:cs="Calibri"/>
                <w:lang w:val="en-GB"/>
              </w:rPr>
              <w:t>.</w:t>
            </w:r>
            <w:r w:rsidRPr="00B05DB0">
              <w:rPr>
                <w:rFonts w:ascii="Calibri" w:hAnsi="Calibri" w:cs="Calibri"/>
                <w:lang w:val="en-GB"/>
              </w:rPr>
              <w:t xml:space="preserve"> </w:t>
            </w:r>
          </w:p>
          <w:p w14:paraId="6FDD12AB" w14:textId="4A56E740" w:rsidR="00E213FD" w:rsidRPr="00CD4897" w:rsidRDefault="00E213FD" w:rsidP="00CD4897">
            <w:pPr>
              <w:spacing w:before="120" w:after="120" w:line="276" w:lineRule="auto"/>
              <w:rPr>
                <w:rFonts w:eastAsia="Times New Roman" w:cstheme="minorHAnsi"/>
                <w:szCs w:val="20"/>
              </w:rPr>
            </w:pPr>
            <w:r>
              <w:rPr>
                <w:rFonts w:ascii="Calibri" w:hAnsi="Calibri" w:cs="Calibri"/>
                <w:lang w:val="en-GB"/>
              </w:rPr>
              <w:t>C</w:t>
            </w:r>
            <w:r w:rsidRPr="00B05DB0">
              <w:rPr>
                <w:rFonts w:ascii="Calibri" w:hAnsi="Calibri" w:cs="Calibri"/>
                <w:lang w:val="en-GB"/>
              </w:rPr>
              <w:t>andidates should be aware of, and will be asked to acknowledge, possible implications of commencing offshore on a part-time study load on their visa.</w:t>
            </w:r>
          </w:p>
          <w:p w14:paraId="3DAA0775" w14:textId="58A26832" w:rsidR="007A34FC" w:rsidRDefault="007A34FC" w:rsidP="002942F5">
            <w:pPr>
              <w:rPr>
                <w:rFonts w:cstheme="minorHAnsi"/>
              </w:rPr>
            </w:pPr>
            <w:r w:rsidRPr="007A34FC">
              <w:rPr>
                <w:rFonts w:eastAsia="Times New Roman" w:cstheme="minorHAnsi"/>
                <w:szCs w:val="20"/>
              </w:rPr>
              <w:t>During the period of approved offshore temporary enrolment, should the candidate no longer be able to undertake meaningful research for their project (</w:t>
            </w:r>
            <w:proofErr w:type="spellStart"/>
            <w:proofErr w:type="gramStart"/>
            <w:r w:rsidRPr="007A34FC">
              <w:rPr>
                <w:rFonts w:eastAsia="Times New Roman" w:cstheme="minorHAnsi"/>
                <w:szCs w:val="20"/>
              </w:rPr>
              <w:t>eg</w:t>
            </w:r>
            <w:proofErr w:type="spellEnd"/>
            <w:proofErr w:type="gramEnd"/>
            <w:r w:rsidRPr="007A34FC">
              <w:rPr>
                <w:rFonts w:eastAsia="Times New Roman" w:cstheme="minorHAnsi"/>
                <w:szCs w:val="20"/>
              </w:rPr>
              <w:t xml:space="preserve"> if a local COVID-19 lockdown is imposed and the candidate can no longer access necessary materials or infrastructure), the candidate must immediately suspend their candidature until such time that they can recommence meaningful research.</w:t>
            </w:r>
          </w:p>
          <w:p w14:paraId="37028AE1" w14:textId="77777777" w:rsidR="004C7D8E" w:rsidRPr="007A34FC" w:rsidRDefault="004C7D8E" w:rsidP="002942F5">
            <w:pPr>
              <w:rPr>
                <w:rFonts w:cstheme="minorHAnsi"/>
                <w:sz w:val="10"/>
                <w:szCs w:val="10"/>
              </w:rPr>
            </w:pPr>
          </w:p>
          <w:p w14:paraId="52376DA7" w14:textId="7F056C47" w:rsidR="007A34FC" w:rsidRPr="00A20F34" w:rsidRDefault="004C7D8E" w:rsidP="00A20F34">
            <w:pPr>
              <w:rPr>
                <w:rFonts w:cstheme="minorHAnsi"/>
              </w:rPr>
            </w:pPr>
            <w:r w:rsidRPr="007A34FC">
              <w:rPr>
                <w:rFonts w:cstheme="minorHAnsi"/>
              </w:rPr>
              <w:t>Candidates who are approved for temporary offshore commencement and who have been awarded a stipend scholarship w</w:t>
            </w:r>
            <w:r w:rsidR="00EC4FD3" w:rsidRPr="007A34FC">
              <w:rPr>
                <w:rFonts w:cstheme="minorHAnsi"/>
              </w:rPr>
              <w:t>ould</w:t>
            </w:r>
            <w:r w:rsidRPr="007A34FC">
              <w:rPr>
                <w:rFonts w:cstheme="minorHAnsi"/>
              </w:rPr>
              <w:t xml:space="preserve"> not </w:t>
            </w:r>
            <w:r w:rsidR="00300D37" w:rsidRPr="007A34FC">
              <w:rPr>
                <w:rFonts w:cstheme="minorHAnsi"/>
              </w:rPr>
              <w:t xml:space="preserve">normally </w:t>
            </w:r>
            <w:r w:rsidRPr="007A34FC">
              <w:rPr>
                <w:rFonts w:cstheme="minorHAnsi"/>
              </w:rPr>
              <w:t xml:space="preserve">be eligible to receive stipend payments for the </w:t>
            </w:r>
            <w:proofErr w:type="gramStart"/>
            <w:r w:rsidRPr="007A34FC">
              <w:rPr>
                <w:rFonts w:cstheme="minorHAnsi"/>
              </w:rPr>
              <w:t>period of time</w:t>
            </w:r>
            <w:proofErr w:type="gramEnd"/>
            <w:r w:rsidRPr="007A34FC">
              <w:rPr>
                <w:rFonts w:cstheme="minorHAnsi"/>
              </w:rPr>
              <w:t xml:space="preserve"> in which they are enrolled in their HDR program and are located offshore</w:t>
            </w:r>
            <w:r w:rsidR="00EC4FD3" w:rsidRPr="007A34FC">
              <w:rPr>
                <w:rFonts w:cstheme="minorHAnsi"/>
              </w:rPr>
              <w:t xml:space="preserve">. </w:t>
            </w:r>
            <w:r w:rsidR="007A34FC" w:rsidRPr="007A34FC">
              <w:rPr>
                <w:rFonts w:eastAsia="Times New Roman" w:cstheme="minorHAnsi"/>
                <w:szCs w:val="20"/>
              </w:rPr>
              <w:t xml:space="preserve">Candidates who can undertake lab-based research with an ACU affiliate, </w:t>
            </w:r>
            <w:proofErr w:type="gramStart"/>
            <w:r w:rsidR="007A34FC" w:rsidRPr="007A34FC">
              <w:rPr>
                <w:rFonts w:eastAsia="Times New Roman" w:cstheme="minorHAnsi"/>
                <w:szCs w:val="20"/>
              </w:rPr>
              <w:t>partner</w:t>
            </w:r>
            <w:proofErr w:type="gramEnd"/>
            <w:r w:rsidR="007A34FC" w:rsidRPr="007A34FC">
              <w:rPr>
                <w:rFonts w:eastAsia="Times New Roman" w:cstheme="minorHAnsi"/>
                <w:szCs w:val="20"/>
              </w:rPr>
              <w:t xml:space="preserve"> or collaborator, or who can demonstrate that they can undertake meaningful research with an ACU affiliate, partner or collaborator situated at their </w:t>
            </w:r>
            <w:r w:rsidR="007A34FC" w:rsidRPr="00F67CC0">
              <w:rPr>
                <w:rFonts w:eastAsia="Times New Roman" w:cstheme="minorHAnsi"/>
                <w:szCs w:val="20"/>
              </w:rPr>
              <w:t>offshore location, may be considered for stipend scholarship payments for the period of t</w:t>
            </w:r>
            <w:r w:rsidR="007A34FC" w:rsidRPr="007B69E9">
              <w:rPr>
                <w:rFonts w:eastAsia="Times New Roman" w:cstheme="minorHAnsi"/>
                <w:szCs w:val="20"/>
              </w:rPr>
              <w:t xml:space="preserve">ime in which they are enrolled in the HDR program and located offshore. Such stipend payments will only be made into </w:t>
            </w:r>
            <w:proofErr w:type="spellStart"/>
            <w:r w:rsidR="007A34FC" w:rsidRPr="007B69E9">
              <w:rPr>
                <w:rFonts w:eastAsia="Times New Roman" w:cstheme="minorHAnsi"/>
                <w:szCs w:val="20"/>
              </w:rPr>
              <w:t>a</w:t>
            </w:r>
            <w:proofErr w:type="spellEnd"/>
            <w:r w:rsidR="007A34FC" w:rsidRPr="007B69E9">
              <w:rPr>
                <w:rFonts w:eastAsia="Times New Roman" w:cstheme="minorHAnsi"/>
                <w:szCs w:val="20"/>
              </w:rPr>
              <w:t xml:space="preserve"> account held </w:t>
            </w:r>
            <w:r w:rsidR="00CD4897">
              <w:rPr>
                <w:rFonts w:eastAsia="Times New Roman" w:cstheme="minorHAnsi"/>
                <w:szCs w:val="20"/>
              </w:rPr>
              <w:t xml:space="preserve">in the candidate’s name </w:t>
            </w:r>
            <w:r w:rsidR="007A34FC" w:rsidRPr="007B69E9">
              <w:rPr>
                <w:rFonts w:eastAsia="Times New Roman" w:cstheme="minorHAnsi"/>
                <w:szCs w:val="20"/>
              </w:rPr>
              <w:t xml:space="preserve">at an Australian </w:t>
            </w:r>
            <w:hyperlink r:id="rId9" w:history="1">
              <w:r w:rsidR="007A34FC" w:rsidRPr="007A34FC">
                <w:rPr>
                  <w:rStyle w:val="Hyperlink"/>
                  <w:rFonts w:eastAsia="Times New Roman" w:cstheme="minorHAnsi"/>
                  <w:szCs w:val="20"/>
                </w:rPr>
                <w:t>Authorised Deposit-taking Institution (ADI).</w:t>
              </w:r>
            </w:hyperlink>
            <w:r w:rsidR="007A34FC" w:rsidRPr="007A34FC">
              <w:rPr>
                <w:rFonts w:eastAsia="Times New Roman" w:cstheme="minorHAnsi"/>
                <w:szCs w:val="20"/>
              </w:rPr>
              <w:t xml:space="preserve"> </w:t>
            </w:r>
            <w:r w:rsidR="003F69E4">
              <w:rPr>
                <w:rFonts w:cstheme="minorHAnsi"/>
              </w:rPr>
              <w:t xml:space="preserve">Requests for full-time commencement with stipend can be </w:t>
            </w:r>
            <w:proofErr w:type="spellStart"/>
            <w:r w:rsidR="003F69E4">
              <w:rPr>
                <w:rFonts w:cstheme="minorHAnsi"/>
              </w:rPr>
              <w:t>considererd</w:t>
            </w:r>
            <w:proofErr w:type="spellEnd"/>
            <w:r w:rsidR="003F69E4">
              <w:rPr>
                <w:rFonts w:cstheme="minorHAnsi"/>
              </w:rPr>
              <w:t xml:space="preserve"> but must be specified in the application form.</w:t>
            </w:r>
          </w:p>
          <w:p w14:paraId="52B8E35D" w14:textId="19F75515" w:rsidR="00EC4FD3" w:rsidRPr="007A34FC" w:rsidRDefault="00EC4FD3" w:rsidP="002942F5">
            <w:pPr>
              <w:rPr>
                <w:rFonts w:cstheme="minorHAnsi"/>
                <w:sz w:val="6"/>
                <w:szCs w:val="6"/>
              </w:rPr>
            </w:pPr>
          </w:p>
          <w:p w14:paraId="4087C87E" w14:textId="05EFB93F" w:rsidR="00EC4FD3" w:rsidRDefault="00EC4FD3" w:rsidP="002942F5">
            <w:pPr>
              <w:rPr>
                <w:rFonts w:cstheme="minorHAnsi"/>
              </w:rPr>
            </w:pPr>
            <w:r>
              <w:rPr>
                <w:rFonts w:cstheme="minorHAnsi"/>
              </w:rPr>
              <w:t>For further details on the parameters around temporary offshore commencement of an HDR program and to submit an application, please download the ‘</w:t>
            </w:r>
            <w:r w:rsidR="00CD4897" w:rsidRPr="00CD4897">
              <w:rPr>
                <w:rFonts w:cstheme="minorHAnsi"/>
              </w:rPr>
              <w:t>Temporary offshore commencement application form</w:t>
            </w:r>
            <w:r>
              <w:rPr>
                <w:rFonts w:cstheme="minorHAnsi"/>
              </w:rPr>
              <w:t>’</w:t>
            </w:r>
            <w:r w:rsidR="00CD4897">
              <w:rPr>
                <w:rFonts w:cstheme="minorHAnsi"/>
              </w:rPr>
              <w:t xml:space="preserve"> from the ACU </w:t>
            </w:r>
            <w:hyperlink r:id="rId10" w:history="1">
              <w:r w:rsidR="00CD4897" w:rsidRPr="00CD4897">
                <w:rPr>
                  <w:rStyle w:val="Hyperlink"/>
                  <w:rFonts w:cstheme="minorHAnsi"/>
                </w:rPr>
                <w:t>International Research Students information</w:t>
              </w:r>
            </w:hyperlink>
            <w:r w:rsidR="00CD4897">
              <w:rPr>
                <w:rFonts w:cstheme="minorHAnsi"/>
              </w:rPr>
              <w:t xml:space="preserve"> page (refer Next Steps towards bottom of the page).</w:t>
            </w:r>
            <w:r>
              <w:rPr>
                <w:rFonts w:cstheme="minorHAnsi"/>
              </w:rPr>
              <w:t xml:space="preserve"> </w:t>
            </w:r>
          </w:p>
          <w:p w14:paraId="58C1283E" w14:textId="77777777" w:rsidR="00BC3607" w:rsidRDefault="00BC3607" w:rsidP="002942F5">
            <w:pPr>
              <w:rPr>
                <w:rFonts w:cstheme="minorHAnsi"/>
                <w:sz w:val="20"/>
                <w:szCs w:val="20"/>
              </w:rPr>
            </w:pPr>
          </w:p>
          <w:p w14:paraId="0EDC892E" w14:textId="48BB693D" w:rsidR="00CD4897" w:rsidRPr="003F1BE7" w:rsidRDefault="00CD4897" w:rsidP="002942F5">
            <w:pPr>
              <w:rPr>
                <w:rFonts w:cstheme="minorHAnsi"/>
                <w:sz w:val="20"/>
                <w:szCs w:val="20"/>
              </w:rPr>
            </w:pPr>
          </w:p>
        </w:tc>
      </w:tr>
    </w:tbl>
    <w:p w14:paraId="516BC4A4" w14:textId="77777777" w:rsidR="00EC4FD3" w:rsidRPr="003F1BE7" w:rsidRDefault="00EC4FD3" w:rsidP="002B3851">
      <w:pPr>
        <w:spacing w:after="0"/>
        <w:rPr>
          <w:rFonts w:cstheme="minorHAnsi"/>
          <w:sz w:val="20"/>
          <w:szCs w:val="20"/>
        </w:rPr>
      </w:pPr>
    </w:p>
    <w:tbl>
      <w:tblPr>
        <w:tblStyle w:val="TableGrid"/>
        <w:tblW w:w="0" w:type="auto"/>
        <w:tblInd w:w="-5" w:type="dxa"/>
        <w:tblLook w:val="04A0" w:firstRow="1" w:lastRow="0" w:firstColumn="1" w:lastColumn="0" w:noHBand="0" w:noVBand="1"/>
      </w:tblPr>
      <w:tblGrid>
        <w:gridCol w:w="10461"/>
      </w:tblGrid>
      <w:tr w:rsidR="00EB341B" w:rsidRPr="003F1BE7" w14:paraId="373D0EEF" w14:textId="77777777" w:rsidTr="00771BC3">
        <w:tc>
          <w:tcPr>
            <w:tcW w:w="10461" w:type="dxa"/>
            <w:shd w:val="clear" w:color="auto" w:fill="3C1053"/>
            <w:tcMar>
              <w:top w:w="17" w:type="dxa"/>
              <w:bottom w:w="17" w:type="dxa"/>
            </w:tcMar>
          </w:tcPr>
          <w:p w14:paraId="6812E08A" w14:textId="071D7991" w:rsidR="00EB341B" w:rsidRPr="003F1BE7" w:rsidRDefault="00C517D2" w:rsidP="00771BC3">
            <w:pPr>
              <w:spacing w:line="259" w:lineRule="auto"/>
              <w:rPr>
                <w:rFonts w:cstheme="minorHAnsi"/>
                <w:sz w:val="20"/>
                <w:szCs w:val="20"/>
              </w:rPr>
            </w:pPr>
            <w:r>
              <w:rPr>
                <w:rFonts w:cstheme="minorHAnsi"/>
                <w:b/>
                <w:color w:val="FFFFFF" w:themeColor="background1"/>
              </w:rPr>
              <w:t xml:space="preserve">Deferral of Commencement </w:t>
            </w:r>
            <w:r w:rsidR="00EC4FD3">
              <w:rPr>
                <w:rFonts w:cstheme="minorHAnsi"/>
                <w:b/>
                <w:color w:val="FFFFFF" w:themeColor="background1"/>
              </w:rPr>
              <w:t>to Research Term A or Research Term C 2022</w:t>
            </w:r>
          </w:p>
        </w:tc>
      </w:tr>
      <w:tr w:rsidR="00C517D2" w:rsidRPr="003F1BE7" w14:paraId="10D634E8" w14:textId="77777777" w:rsidTr="002476D3">
        <w:trPr>
          <w:trHeight w:val="3701"/>
        </w:trPr>
        <w:tc>
          <w:tcPr>
            <w:tcW w:w="10461" w:type="dxa"/>
            <w:tcMar>
              <w:top w:w="17" w:type="dxa"/>
              <w:bottom w:w="17" w:type="dxa"/>
            </w:tcMar>
          </w:tcPr>
          <w:p w14:paraId="1E6345AC" w14:textId="382D5367" w:rsidR="00210569" w:rsidRDefault="00695CB4" w:rsidP="00210569">
            <w:pPr>
              <w:keepNext/>
              <w:spacing w:after="120"/>
              <w:rPr>
                <w:rFonts w:cstheme="minorHAnsi"/>
              </w:rPr>
            </w:pPr>
            <w:r w:rsidRPr="00695CB4">
              <w:rPr>
                <w:rFonts w:cstheme="minorHAnsi"/>
              </w:rPr>
              <w:t xml:space="preserve">Candidates </w:t>
            </w:r>
            <w:r w:rsidR="00EC4FD3">
              <w:rPr>
                <w:rFonts w:cstheme="minorHAnsi"/>
              </w:rPr>
              <w:t xml:space="preserve">who are not eligible for or who do not wish to </w:t>
            </w:r>
            <w:r w:rsidR="00210569">
              <w:rPr>
                <w:rFonts w:cstheme="minorHAnsi"/>
              </w:rPr>
              <w:t xml:space="preserve">apply </w:t>
            </w:r>
            <w:r w:rsidR="00EC4FD3">
              <w:rPr>
                <w:rFonts w:cstheme="minorHAnsi"/>
              </w:rPr>
              <w:t xml:space="preserve">for temporary offshore commencement of enrolment </w:t>
            </w:r>
            <w:r w:rsidR="00210569">
              <w:rPr>
                <w:rFonts w:cstheme="minorHAnsi"/>
              </w:rPr>
              <w:t>may</w:t>
            </w:r>
            <w:r w:rsidRPr="00695CB4">
              <w:rPr>
                <w:rFonts w:cstheme="minorHAnsi"/>
              </w:rPr>
              <w:t xml:space="preserve"> </w:t>
            </w:r>
            <w:r w:rsidR="00210569">
              <w:rPr>
                <w:rFonts w:cstheme="minorHAnsi"/>
              </w:rPr>
              <w:t xml:space="preserve">request a </w:t>
            </w:r>
            <w:r w:rsidRPr="00695CB4">
              <w:rPr>
                <w:rFonts w:cstheme="minorHAnsi"/>
              </w:rPr>
              <w:t xml:space="preserve">deferral </w:t>
            </w:r>
            <w:r w:rsidR="00EC4FD3">
              <w:rPr>
                <w:rFonts w:cstheme="minorHAnsi"/>
              </w:rPr>
              <w:t xml:space="preserve">of their ACU HDR </w:t>
            </w:r>
            <w:r w:rsidR="004B2E5A">
              <w:rPr>
                <w:rFonts w:cstheme="minorHAnsi"/>
              </w:rPr>
              <w:t xml:space="preserve">candidature </w:t>
            </w:r>
            <w:r w:rsidR="00EC4FD3">
              <w:rPr>
                <w:rFonts w:cstheme="minorHAnsi"/>
              </w:rPr>
              <w:t>commencement date</w:t>
            </w:r>
            <w:r w:rsidR="00210569">
              <w:rPr>
                <w:rFonts w:cstheme="minorHAnsi"/>
              </w:rPr>
              <w:t xml:space="preserve"> to another Research Term. </w:t>
            </w:r>
          </w:p>
          <w:p w14:paraId="5D33F128" w14:textId="489E3C17" w:rsidR="00210569" w:rsidRDefault="00210569" w:rsidP="00210569">
            <w:pPr>
              <w:keepNext/>
              <w:spacing w:after="120"/>
              <w:rPr>
                <w:rFonts w:cstheme="minorHAnsi"/>
              </w:rPr>
            </w:pPr>
            <w:r>
              <w:rPr>
                <w:rFonts w:cstheme="minorHAnsi"/>
              </w:rPr>
              <w:t xml:space="preserve">Candidates should note that commencement of HDR programs normally </w:t>
            </w:r>
            <w:r w:rsidR="00CE5C0C">
              <w:rPr>
                <w:rFonts w:cstheme="minorHAnsi"/>
              </w:rPr>
              <w:t xml:space="preserve">only </w:t>
            </w:r>
            <w:r>
              <w:rPr>
                <w:rFonts w:cstheme="minorHAnsi"/>
              </w:rPr>
              <w:t>occurs during Research Terms A or C</w:t>
            </w:r>
            <w:r w:rsidR="00CE5C0C">
              <w:rPr>
                <w:rFonts w:cstheme="minorHAnsi"/>
              </w:rPr>
              <w:t>,</w:t>
            </w:r>
            <w:r w:rsidR="004B2E5A">
              <w:rPr>
                <w:rFonts w:cstheme="minorHAnsi"/>
              </w:rPr>
              <w:t xml:space="preserve"> therefore deferrals are considered to those Research Terms only</w:t>
            </w:r>
            <w:r>
              <w:rPr>
                <w:rFonts w:cstheme="minorHAnsi"/>
              </w:rPr>
              <w:t xml:space="preserve">. Research Term dates for 2022 can be found </w:t>
            </w:r>
            <w:hyperlink r:id="rId11" w:history="1">
              <w:r w:rsidRPr="00210569">
                <w:rPr>
                  <w:rStyle w:val="Hyperlink"/>
                  <w:rFonts w:cstheme="minorHAnsi"/>
                </w:rPr>
                <w:t>here</w:t>
              </w:r>
            </w:hyperlink>
            <w:r w:rsidR="004B2E5A">
              <w:rPr>
                <w:rFonts w:cstheme="minorHAnsi"/>
              </w:rPr>
              <w:t xml:space="preserve">. </w:t>
            </w:r>
          </w:p>
          <w:p w14:paraId="424024D6" w14:textId="1ACE963A" w:rsidR="004B2E5A" w:rsidRDefault="004B2E5A" w:rsidP="00D50CD8">
            <w:pPr>
              <w:keepNext/>
              <w:spacing w:after="120"/>
              <w:rPr>
                <w:rFonts w:cstheme="minorHAnsi"/>
              </w:rPr>
            </w:pPr>
            <w:r>
              <w:rPr>
                <w:rFonts w:cstheme="minorHAnsi"/>
              </w:rPr>
              <w:t xml:space="preserve">In considering a deferral of enrolment, the </w:t>
            </w:r>
            <w:r w:rsidR="009A4292">
              <w:rPr>
                <w:rFonts w:cstheme="minorHAnsi"/>
              </w:rPr>
              <w:t>University</w:t>
            </w:r>
            <w:r>
              <w:rPr>
                <w:rFonts w:cstheme="minorHAnsi"/>
              </w:rPr>
              <w:t xml:space="preserve"> would need to consider the availability of supervision, availability of resources and any impacts a delayed commencement would have on the proposed program of research, amongst other matters.</w:t>
            </w:r>
          </w:p>
          <w:p w14:paraId="0265FE20" w14:textId="51D1E27E" w:rsidR="00CE5C0C" w:rsidRDefault="00CE5C0C" w:rsidP="00D50CD8">
            <w:pPr>
              <w:keepNext/>
              <w:spacing w:after="120"/>
              <w:rPr>
                <w:rFonts w:cstheme="minorHAnsi"/>
              </w:rPr>
            </w:pPr>
            <w:r>
              <w:rPr>
                <w:rFonts w:cstheme="minorHAnsi"/>
              </w:rPr>
              <w:t xml:space="preserve">Candidates who have been awarded a stipend scholarship and/or tuition fee waiver </w:t>
            </w:r>
            <w:r w:rsidR="00A46DEA">
              <w:rPr>
                <w:rFonts w:cstheme="minorHAnsi"/>
              </w:rPr>
              <w:t xml:space="preserve">must </w:t>
            </w:r>
            <w:r>
              <w:rPr>
                <w:rFonts w:cstheme="minorHAnsi"/>
              </w:rPr>
              <w:t xml:space="preserve">specifically request a deferral of their stipend scholarship and tuition fee waiver when they submit their request for deferral of enrolment in the HDR program. </w:t>
            </w:r>
          </w:p>
          <w:p w14:paraId="2C5002B1" w14:textId="3EE7B3DE" w:rsidR="00210569" w:rsidRDefault="00A46DEA" w:rsidP="00D50CD8">
            <w:pPr>
              <w:keepNext/>
              <w:spacing w:after="120"/>
              <w:rPr>
                <w:rFonts w:cstheme="minorHAnsi"/>
              </w:rPr>
            </w:pPr>
            <w:r>
              <w:rPr>
                <w:rFonts w:cstheme="minorHAnsi"/>
              </w:rPr>
              <w:t>A</w:t>
            </w:r>
            <w:r w:rsidR="004B2E5A">
              <w:rPr>
                <w:rFonts w:cstheme="minorHAnsi"/>
              </w:rPr>
              <w:t xml:space="preserve"> deferral of</w:t>
            </w:r>
            <w:r>
              <w:rPr>
                <w:rFonts w:cstheme="minorHAnsi"/>
              </w:rPr>
              <w:t xml:space="preserve"> candidature does not guarantee a deferral of </w:t>
            </w:r>
            <w:r w:rsidR="004B2E5A">
              <w:rPr>
                <w:rFonts w:cstheme="minorHAnsi"/>
              </w:rPr>
              <w:t>stipend scholarship and/or tuition fee waiver</w:t>
            </w:r>
            <w:r w:rsidR="00C5092F">
              <w:rPr>
                <w:rFonts w:cstheme="minorHAnsi"/>
              </w:rPr>
              <w:t>.</w:t>
            </w:r>
            <w:r w:rsidR="004B2E5A">
              <w:rPr>
                <w:rFonts w:cstheme="minorHAnsi"/>
              </w:rPr>
              <w:t xml:space="preserve"> </w:t>
            </w:r>
          </w:p>
          <w:p w14:paraId="08811F42" w14:textId="434B79C5" w:rsidR="00695CB4" w:rsidRPr="00695CB4" w:rsidRDefault="004B2E5A" w:rsidP="00D50CD8">
            <w:pPr>
              <w:keepNext/>
              <w:spacing w:after="120"/>
              <w:rPr>
                <w:rFonts w:cstheme="minorHAnsi"/>
              </w:rPr>
            </w:pPr>
            <w:r>
              <w:rPr>
                <w:rFonts w:cstheme="minorHAnsi"/>
              </w:rPr>
              <w:t xml:space="preserve">For all </w:t>
            </w:r>
            <w:r w:rsidR="00695CB4" w:rsidRPr="00695CB4">
              <w:rPr>
                <w:rFonts w:cstheme="minorHAnsi"/>
              </w:rPr>
              <w:t>commencement</w:t>
            </w:r>
            <w:r>
              <w:rPr>
                <w:rFonts w:cstheme="minorHAnsi"/>
              </w:rPr>
              <w:t xml:space="preserve"> or stipend scholarship and/or tuition fee waiver deferrals</w:t>
            </w:r>
            <w:r w:rsidR="00695CB4" w:rsidRPr="00695CB4">
              <w:rPr>
                <w:rFonts w:cstheme="minorHAnsi"/>
              </w:rPr>
              <w:t xml:space="preserve">, the candidate </w:t>
            </w:r>
            <w:r>
              <w:rPr>
                <w:rFonts w:cstheme="minorHAnsi"/>
              </w:rPr>
              <w:t>should</w:t>
            </w:r>
            <w:r w:rsidR="00695CB4" w:rsidRPr="00695CB4">
              <w:rPr>
                <w:rFonts w:cstheme="minorHAnsi"/>
              </w:rPr>
              <w:t xml:space="preserve"> email </w:t>
            </w:r>
            <w:r>
              <w:rPr>
                <w:rFonts w:cstheme="minorHAnsi"/>
              </w:rPr>
              <w:t xml:space="preserve">Candidature Services </w:t>
            </w:r>
            <w:hyperlink r:id="rId12" w:history="1">
              <w:r w:rsidRPr="00017524">
                <w:rPr>
                  <w:rStyle w:val="Hyperlink"/>
                  <w:rFonts w:cstheme="minorHAnsi"/>
                </w:rPr>
                <w:t>res.cand@acu.edu.au</w:t>
              </w:r>
            </w:hyperlink>
            <w:r w:rsidR="00695CB4" w:rsidRPr="00695CB4">
              <w:rPr>
                <w:rFonts w:cstheme="minorHAnsi"/>
              </w:rPr>
              <w:t xml:space="preserve"> </w:t>
            </w:r>
            <w:r>
              <w:rPr>
                <w:rFonts w:cstheme="minorHAnsi"/>
              </w:rPr>
              <w:t xml:space="preserve">outlining their deferral request. Candidature Services will facilitate the University’s consideration of the request and notify the candidate of the outcome. </w:t>
            </w:r>
          </w:p>
          <w:p w14:paraId="77A9D0C7" w14:textId="77777777" w:rsidR="00695CB4" w:rsidRDefault="004B2E5A" w:rsidP="00D50CD8">
            <w:pPr>
              <w:keepNext/>
              <w:spacing w:after="120"/>
              <w:rPr>
                <w:rFonts w:cstheme="minorHAnsi"/>
              </w:rPr>
            </w:pPr>
            <w:r>
              <w:rPr>
                <w:rFonts w:cstheme="minorHAnsi"/>
              </w:rPr>
              <w:t xml:space="preserve">For further information about deferrals refer to </w:t>
            </w:r>
            <w:hyperlink r:id="rId13" w:history="1">
              <w:r w:rsidRPr="00EC4FD3">
                <w:rPr>
                  <w:rStyle w:val="Hyperlink"/>
                  <w:rFonts w:cstheme="minorHAnsi"/>
                </w:rPr>
                <w:t>Higher Degree Regulation</w:t>
              </w:r>
            </w:hyperlink>
            <w:r>
              <w:rPr>
                <w:rFonts w:cstheme="minorHAnsi"/>
              </w:rPr>
              <w:t xml:space="preserve"> 5.5. </w:t>
            </w:r>
          </w:p>
          <w:p w14:paraId="1AB79B86" w14:textId="0531BF9F" w:rsidR="00CD4897" w:rsidRPr="004B2E5A" w:rsidRDefault="00CD4897" w:rsidP="00D50CD8">
            <w:pPr>
              <w:keepNext/>
              <w:spacing w:after="120"/>
              <w:rPr>
                <w:rFonts w:cstheme="minorHAnsi"/>
              </w:rPr>
            </w:pPr>
          </w:p>
        </w:tc>
      </w:tr>
    </w:tbl>
    <w:p w14:paraId="46D6E931" w14:textId="5FC4BF49" w:rsidR="00A717C7" w:rsidRPr="00EE1ED9" w:rsidRDefault="00A717C7" w:rsidP="00EE1ED9">
      <w:pPr>
        <w:spacing w:after="0"/>
        <w:ind w:firstLine="720"/>
        <w:rPr>
          <w:rFonts w:cstheme="minorHAnsi"/>
          <w:sz w:val="10"/>
          <w:szCs w:val="10"/>
        </w:rPr>
      </w:pPr>
    </w:p>
    <w:tbl>
      <w:tblPr>
        <w:tblStyle w:val="TableGrid"/>
        <w:tblW w:w="0" w:type="auto"/>
        <w:tblInd w:w="-5" w:type="dxa"/>
        <w:tblLayout w:type="fixed"/>
        <w:tblLook w:val="04A0" w:firstRow="1" w:lastRow="0" w:firstColumn="1" w:lastColumn="0" w:noHBand="0" w:noVBand="1"/>
      </w:tblPr>
      <w:tblGrid>
        <w:gridCol w:w="10461"/>
      </w:tblGrid>
      <w:tr w:rsidR="009843EF" w:rsidRPr="003F1BE7" w14:paraId="15819CEB" w14:textId="77777777" w:rsidTr="000B071A">
        <w:tc>
          <w:tcPr>
            <w:tcW w:w="10461" w:type="dxa"/>
            <w:shd w:val="clear" w:color="auto" w:fill="3C1053"/>
            <w:tcMar>
              <w:top w:w="17" w:type="dxa"/>
              <w:bottom w:w="17" w:type="dxa"/>
            </w:tcMar>
          </w:tcPr>
          <w:p w14:paraId="5E5F9FC8" w14:textId="77777777" w:rsidR="009843EF" w:rsidRPr="003F1BE7" w:rsidRDefault="009843EF" w:rsidP="000B071A">
            <w:pPr>
              <w:spacing w:line="259" w:lineRule="auto"/>
              <w:rPr>
                <w:rFonts w:cstheme="minorHAnsi"/>
                <w:sz w:val="20"/>
                <w:szCs w:val="20"/>
              </w:rPr>
            </w:pPr>
            <w:r>
              <w:rPr>
                <w:rFonts w:cstheme="minorHAnsi"/>
                <w:b/>
                <w:color w:val="FFFFFF" w:themeColor="background1"/>
              </w:rPr>
              <w:t xml:space="preserve">Support with costs when relocating to Australia </w:t>
            </w:r>
          </w:p>
        </w:tc>
      </w:tr>
      <w:tr w:rsidR="009843EF" w:rsidRPr="003F1BE7" w14:paraId="06F8E0AF" w14:textId="77777777" w:rsidTr="000B071A">
        <w:trPr>
          <w:trHeight w:val="1982"/>
        </w:trPr>
        <w:tc>
          <w:tcPr>
            <w:tcW w:w="10461" w:type="dxa"/>
          </w:tcPr>
          <w:p w14:paraId="286D8E02" w14:textId="77777777" w:rsidR="009843EF" w:rsidRPr="00EE1ED9" w:rsidRDefault="009843EF" w:rsidP="000B071A">
            <w:pPr>
              <w:rPr>
                <w:rFonts w:cstheme="minorHAnsi"/>
                <w:sz w:val="13"/>
                <w:szCs w:val="13"/>
              </w:rPr>
            </w:pPr>
          </w:p>
          <w:p w14:paraId="0DEDA3C5" w14:textId="770089EA" w:rsidR="009843EF" w:rsidRPr="00B36959" w:rsidRDefault="00CE5C0C" w:rsidP="000B071A">
            <w:r>
              <w:rPr>
                <w:rFonts w:cstheme="minorHAnsi"/>
              </w:rPr>
              <w:t>Under the</w:t>
            </w:r>
            <w:r w:rsidR="009843EF">
              <w:rPr>
                <w:rFonts w:cstheme="minorHAnsi"/>
              </w:rPr>
              <w:t xml:space="preserve"> University’s </w:t>
            </w:r>
            <w:hyperlink r:id="rId14" w:history="1">
              <w:r w:rsidR="009843EF" w:rsidRPr="00B90773">
                <w:rPr>
                  <w:rStyle w:val="Hyperlink"/>
                </w:rPr>
                <w:t>Research Training Program Scholarship Policy</w:t>
              </w:r>
            </w:hyperlink>
            <w:r w:rsidR="009843EF">
              <w:t xml:space="preserve"> (clause 4.3.3) candidates may apply to the University for financial support for costs associated with relocating to Australia to take up enrolment in an ACU HDR program. </w:t>
            </w:r>
          </w:p>
          <w:p w14:paraId="70B06327" w14:textId="77777777" w:rsidR="009843EF" w:rsidRDefault="009843EF" w:rsidP="000B071A">
            <w:pPr>
              <w:spacing w:before="120" w:after="120" w:line="276" w:lineRule="auto"/>
            </w:pPr>
            <w:r>
              <w:t>Normally the value of the RTP Allowance Scholarship (Relocation) will be up to $2,000 AUD. At the discretion of the Deputy Vice-Chancellor (Research), an additional allowance may be approved for students who relocate with dependents.</w:t>
            </w:r>
          </w:p>
          <w:p w14:paraId="39D8BDEA" w14:textId="77777777" w:rsidR="009843EF" w:rsidRPr="00B36959" w:rsidRDefault="009843EF" w:rsidP="000B071A">
            <w:pPr>
              <w:spacing w:before="120" w:after="120" w:line="276" w:lineRule="auto"/>
              <w:rPr>
                <w:rFonts w:eastAsia="Times New Roman" w:cstheme="minorHAnsi"/>
                <w:szCs w:val="20"/>
              </w:rPr>
            </w:pPr>
            <w:r w:rsidRPr="003F1BE7">
              <w:rPr>
                <w:rFonts w:eastAsia="Times New Roman" w:cstheme="minorHAnsi"/>
                <w:szCs w:val="20"/>
              </w:rPr>
              <w:t xml:space="preserve">Applications will be assessed by the University on a case-by-case basis. </w:t>
            </w:r>
          </w:p>
          <w:p w14:paraId="111F463F" w14:textId="77777777" w:rsidR="009843EF" w:rsidRDefault="009843EF" w:rsidP="000B071A">
            <w:pPr>
              <w:spacing w:before="120" w:after="120" w:line="276" w:lineRule="auto"/>
              <w:rPr>
                <w:rStyle w:val="Hyperlink"/>
                <w:rFonts w:cstheme="minorHAnsi"/>
              </w:rPr>
            </w:pPr>
            <w:r>
              <w:rPr>
                <w:rFonts w:cstheme="minorHAnsi"/>
              </w:rPr>
              <w:t xml:space="preserve">Full details and application instructions can be found in the </w:t>
            </w:r>
            <w:hyperlink r:id="rId15" w:history="1">
              <w:r w:rsidRPr="00FE3FD7">
                <w:rPr>
                  <w:rStyle w:val="Hyperlink"/>
                  <w:rFonts w:cstheme="minorHAnsi"/>
                </w:rPr>
                <w:t>Research Training Program (RTP) Allowance Scholarship (Relocation) Application form.</w:t>
              </w:r>
            </w:hyperlink>
          </w:p>
          <w:p w14:paraId="4AFA7F77" w14:textId="015A41B0" w:rsidR="00CD4897" w:rsidRPr="00B36959" w:rsidRDefault="00CD4897" w:rsidP="000B071A">
            <w:pPr>
              <w:spacing w:before="120" w:after="120" w:line="276" w:lineRule="auto"/>
              <w:rPr>
                <w:rFonts w:cstheme="minorHAnsi"/>
              </w:rPr>
            </w:pPr>
          </w:p>
        </w:tc>
      </w:tr>
    </w:tbl>
    <w:p w14:paraId="79D6A5BE" w14:textId="3528D8CB" w:rsidR="003F1BE7" w:rsidRDefault="003F1BE7" w:rsidP="002B3851">
      <w:pPr>
        <w:spacing w:after="0"/>
        <w:rPr>
          <w:rFonts w:cstheme="minorHAnsi"/>
          <w:sz w:val="6"/>
          <w:szCs w:val="6"/>
        </w:rPr>
      </w:pPr>
    </w:p>
    <w:p w14:paraId="7B11C586" w14:textId="73D3A774" w:rsidR="00CD4897" w:rsidRDefault="00CD4897" w:rsidP="002B3851">
      <w:pPr>
        <w:spacing w:after="0"/>
        <w:rPr>
          <w:rFonts w:cstheme="minorHAnsi"/>
          <w:sz w:val="6"/>
          <w:szCs w:val="6"/>
        </w:rPr>
      </w:pPr>
    </w:p>
    <w:p w14:paraId="19CBFE0F" w14:textId="41DE5519" w:rsidR="00CD4897" w:rsidRDefault="00CD4897" w:rsidP="002B3851">
      <w:pPr>
        <w:spacing w:after="0"/>
        <w:rPr>
          <w:rFonts w:cstheme="minorHAnsi"/>
          <w:sz w:val="6"/>
          <w:szCs w:val="6"/>
        </w:rPr>
      </w:pPr>
    </w:p>
    <w:p w14:paraId="09737D26" w14:textId="2E94BED9" w:rsidR="00CD4897" w:rsidRDefault="00CD4897" w:rsidP="002B3851">
      <w:pPr>
        <w:spacing w:after="0"/>
        <w:rPr>
          <w:rFonts w:cstheme="minorHAnsi"/>
          <w:sz w:val="6"/>
          <w:szCs w:val="6"/>
        </w:rPr>
      </w:pPr>
    </w:p>
    <w:p w14:paraId="1B6A4C79" w14:textId="5E626177" w:rsidR="00CD4897" w:rsidRDefault="00CD4897" w:rsidP="002B3851">
      <w:pPr>
        <w:spacing w:after="0"/>
        <w:rPr>
          <w:rFonts w:cstheme="minorHAnsi"/>
          <w:sz w:val="6"/>
          <w:szCs w:val="6"/>
        </w:rPr>
      </w:pPr>
    </w:p>
    <w:p w14:paraId="7F41F6EE" w14:textId="20AB0D76" w:rsidR="00CD4897" w:rsidRDefault="00CD4897" w:rsidP="002B3851">
      <w:pPr>
        <w:spacing w:after="0"/>
        <w:rPr>
          <w:rFonts w:cstheme="minorHAnsi"/>
          <w:sz w:val="6"/>
          <w:szCs w:val="6"/>
        </w:rPr>
      </w:pPr>
    </w:p>
    <w:p w14:paraId="5D302B3A" w14:textId="1BF7353A" w:rsidR="00CD4897" w:rsidRDefault="00CD4897" w:rsidP="002B3851">
      <w:pPr>
        <w:spacing w:after="0"/>
        <w:rPr>
          <w:rFonts w:cstheme="minorHAnsi"/>
          <w:sz w:val="6"/>
          <w:szCs w:val="6"/>
        </w:rPr>
      </w:pPr>
    </w:p>
    <w:p w14:paraId="75C1ADC9" w14:textId="2234EF4F" w:rsidR="00CD4897" w:rsidRDefault="00CD4897" w:rsidP="002B3851">
      <w:pPr>
        <w:spacing w:after="0"/>
        <w:rPr>
          <w:rFonts w:cstheme="minorHAnsi"/>
          <w:sz w:val="6"/>
          <w:szCs w:val="6"/>
        </w:rPr>
      </w:pPr>
    </w:p>
    <w:p w14:paraId="63CD63C4" w14:textId="59794DA3" w:rsidR="00CD4897" w:rsidRDefault="00CD4897" w:rsidP="002B3851">
      <w:pPr>
        <w:spacing w:after="0"/>
        <w:rPr>
          <w:rFonts w:cstheme="minorHAnsi"/>
          <w:sz w:val="6"/>
          <w:szCs w:val="6"/>
        </w:rPr>
      </w:pPr>
    </w:p>
    <w:p w14:paraId="1DA45496" w14:textId="77777777" w:rsidR="00CD4897" w:rsidRDefault="00CD4897" w:rsidP="002B3851">
      <w:pPr>
        <w:spacing w:after="0"/>
        <w:rPr>
          <w:rFonts w:cstheme="minorHAnsi"/>
          <w:sz w:val="6"/>
          <w:szCs w:val="6"/>
        </w:rPr>
      </w:pPr>
    </w:p>
    <w:p w14:paraId="3E2CF93D" w14:textId="77777777" w:rsidR="00CD4897" w:rsidRPr="00EE1ED9" w:rsidRDefault="00CD4897" w:rsidP="002B3851">
      <w:pPr>
        <w:spacing w:after="0"/>
        <w:rPr>
          <w:rFonts w:cstheme="minorHAnsi"/>
          <w:sz w:val="6"/>
          <w:szCs w:val="6"/>
        </w:rPr>
      </w:pPr>
    </w:p>
    <w:tbl>
      <w:tblPr>
        <w:tblStyle w:val="TableGrid"/>
        <w:tblW w:w="0" w:type="auto"/>
        <w:tblInd w:w="-5" w:type="dxa"/>
        <w:tblLayout w:type="fixed"/>
        <w:tblLook w:val="04A0" w:firstRow="1" w:lastRow="0" w:firstColumn="1" w:lastColumn="0" w:noHBand="0" w:noVBand="1"/>
      </w:tblPr>
      <w:tblGrid>
        <w:gridCol w:w="10461"/>
      </w:tblGrid>
      <w:tr w:rsidR="008F6B33" w:rsidRPr="003F1BE7" w14:paraId="17DEE040" w14:textId="77777777" w:rsidTr="009457F2">
        <w:tc>
          <w:tcPr>
            <w:tcW w:w="10461" w:type="dxa"/>
            <w:shd w:val="clear" w:color="auto" w:fill="3C1053"/>
            <w:tcMar>
              <w:top w:w="17" w:type="dxa"/>
              <w:bottom w:w="17" w:type="dxa"/>
            </w:tcMar>
          </w:tcPr>
          <w:p w14:paraId="05B55086" w14:textId="69139424" w:rsidR="008F6B33" w:rsidRPr="003F1BE7" w:rsidRDefault="00643238" w:rsidP="007F420F">
            <w:pPr>
              <w:spacing w:line="259" w:lineRule="auto"/>
              <w:rPr>
                <w:rFonts w:cstheme="minorHAnsi"/>
                <w:sz w:val="20"/>
                <w:szCs w:val="20"/>
              </w:rPr>
            </w:pPr>
            <w:r>
              <w:rPr>
                <w:rFonts w:cstheme="minorHAnsi"/>
                <w:b/>
                <w:color w:val="FFFFFF" w:themeColor="background1"/>
              </w:rPr>
              <w:t>Application for a T</w:t>
            </w:r>
            <w:r w:rsidR="00C517D2">
              <w:rPr>
                <w:rFonts w:cstheme="minorHAnsi"/>
                <w:b/>
                <w:color w:val="FFFFFF" w:themeColor="background1"/>
              </w:rPr>
              <w:t xml:space="preserve">ravel Exemption </w:t>
            </w:r>
            <w:r w:rsidR="009843EF">
              <w:rPr>
                <w:rFonts w:cstheme="minorHAnsi"/>
                <w:b/>
                <w:color w:val="FFFFFF" w:themeColor="background1"/>
              </w:rPr>
              <w:t>from Department of Home Affairs</w:t>
            </w:r>
          </w:p>
        </w:tc>
      </w:tr>
      <w:tr w:rsidR="00AD6671" w:rsidRPr="003F1BE7" w14:paraId="3BB2B36F" w14:textId="77777777" w:rsidTr="007F420F">
        <w:trPr>
          <w:trHeight w:val="1982"/>
        </w:trPr>
        <w:tc>
          <w:tcPr>
            <w:tcW w:w="10461" w:type="dxa"/>
          </w:tcPr>
          <w:p w14:paraId="60DA593F" w14:textId="339EA738" w:rsidR="00643238" w:rsidRPr="00EE1ED9" w:rsidRDefault="00643238" w:rsidP="00B96282">
            <w:pPr>
              <w:rPr>
                <w:rFonts w:cstheme="minorHAnsi"/>
                <w:sz w:val="8"/>
                <w:szCs w:val="8"/>
              </w:rPr>
            </w:pPr>
          </w:p>
          <w:p w14:paraId="6881E74F" w14:textId="3897FBEC" w:rsidR="00643238" w:rsidRDefault="00643238" w:rsidP="00B96282">
            <w:pPr>
              <w:rPr>
                <w:rFonts w:cstheme="minorHAnsi"/>
              </w:rPr>
            </w:pPr>
            <w:r>
              <w:rPr>
                <w:rFonts w:cstheme="minorHAnsi"/>
              </w:rPr>
              <w:t xml:space="preserve">The Australian government </w:t>
            </w:r>
            <w:r w:rsidR="00DD5998">
              <w:rPr>
                <w:rFonts w:cstheme="minorHAnsi"/>
              </w:rPr>
              <w:t>does not currently permit student visa holders to enter Australia. In certain circumstances the government may approve a travel exemption for a student visa holder to travel to Australia.</w:t>
            </w:r>
          </w:p>
          <w:p w14:paraId="55707FB8" w14:textId="77777777" w:rsidR="00DD5998" w:rsidRPr="00EE1ED9" w:rsidRDefault="00DD5998" w:rsidP="00B96282">
            <w:pPr>
              <w:rPr>
                <w:rFonts w:cstheme="minorHAnsi"/>
                <w:sz w:val="16"/>
                <w:szCs w:val="16"/>
              </w:rPr>
            </w:pPr>
          </w:p>
          <w:p w14:paraId="5E762CEA" w14:textId="77777777" w:rsidR="00DD5998" w:rsidRDefault="00DD5998" w:rsidP="00B96282">
            <w:pPr>
              <w:rPr>
                <w:rFonts w:cstheme="minorHAnsi"/>
              </w:rPr>
            </w:pPr>
          </w:p>
          <w:p w14:paraId="6509151F" w14:textId="07656878" w:rsidR="00DD5998" w:rsidRDefault="00DD5998" w:rsidP="00B96282">
            <w:pPr>
              <w:rPr>
                <w:rFonts w:cstheme="minorHAnsi"/>
              </w:rPr>
            </w:pPr>
            <w:r>
              <w:rPr>
                <w:rFonts w:cstheme="minorHAnsi"/>
              </w:rPr>
              <w:t xml:space="preserve">The University recommends candidates monitor the </w:t>
            </w:r>
            <w:hyperlink r:id="rId16" w:history="1">
              <w:r w:rsidRPr="00DD5998">
                <w:rPr>
                  <w:rStyle w:val="Hyperlink"/>
                  <w:rFonts w:cstheme="minorHAnsi"/>
                </w:rPr>
                <w:t>Department of Home Affairs</w:t>
              </w:r>
            </w:hyperlink>
            <w:r>
              <w:rPr>
                <w:rFonts w:cstheme="minorHAnsi"/>
              </w:rPr>
              <w:t xml:space="preserve"> website for updates on travel restrictions and </w:t>
            </w:r>
            <w:r w:rsidR="00EE1ED9">
              <w:rPr>
                <w:rFonts w:cstheme="minorHAnsi"/>
              </w:rPr>
              <w:t>consider</w:t>
            </w:r>
            <w:r>
              <w:rPr>
                <w:rFonts w:cstheme="minorHAnsi"/>
              </w:rPr>
              <w:t xml:space="preserve"> applying for a travel exemption</w:t>
            </w:r>
            <w:r w:rsidR="00EE1ED9">
              <w:rPr>
                <w:rFonts w:cstheme="minorHAnsi"/>
              </w:rPr>
              <w:t xml:space="preserve"> once their student visa has been granted</w:t>
            </w:r>
            <w:r>
              <w:rPr>
                <w:rFonts w:cstheme="minorHAnsi"/>
              </w:rPr>
              <w:t>.</w:t>
            </w:r>
          </w:p>
          <w:p w14:paraId="0BB63E3D" w14:textId="35225973" w:rsidR="009843EF" w:rsidRDefault="009843EF" w:rsidP="00B96282">
            <w:pPr>
              <w:rPr>
                <w:rFonts w:cstheme="minorHAnsi"/>
              </w:rPr>
            </w:pPr>
          </w:p>
          <w:p w14:paraId="158633CD" w14:textId="1ABECB6B" w:rsidR="00016A63" w:rsidRPr="00C64C13" w:rsidRDefault="00EE1ED9" w:rsidP="00B96282">
            <w:pPr>
              <w:rPr>
                <w:rFonts w:cstheme="minorHAnsi"/>
              </w:rPr>
            </w:pPr>
            <w:r>
              <w:rPr>
                <w:rFonts w:cstheme="minorHAnsi"/>
              </w:rPr>
              <w:t>Some</w:t>
            </w:r>
            <w:r w:rsidR="00016A63" w:rsidRPr="00C64C13">
              <w:rPr>
                <w:rFonts w:cstheme="minorHAnsi"/>
              </w:rPr>
              <w:t xml:space="preserve"> helpful links</w:t>
            </w:r>
            <w:r>
              <w:rPr>
                <w:rFonts w:cstheme="minorHAnsi"/>
              </w:rPr>
              <w:t xml:space="preserve"> are below:</w:t>
            </w:r>
          </w:p>
          <w:p w14:paraId="44D36214" w14:textId="77777777" w:rsidR="00C64C13" w:rsidRPr="00C64C13" w:rsidRDefault="00CA6F5D" w:rsidP="00016A63">
            <w:pPr>
              <w:pStyle w:val="ListParagraph"/>
              <w:numPr>
                <w:ilvl w:val="0"/>
                <w:numId w:val="10"/>
              </w:numPr>
              <w:rPr>
                <w:rFonts w:cstheme="minorHAnsi"/>
              </w:rPr>
            </w:pPr>
            <w:hyperlink r:id="rId17" w:anchor="." w:history="1">
              <w:r w:rsidR="00016A63" w:rsidRPr="00C64C13">
                <w:rPr>
                  <w:rStyle w:val="Hyperlink"/>
                  <w:rFonts w:cstheme="minorHAnsi"/>
                </w:rPr>
                <w:t>Visa Processing Times</w:t>
              </w:r>
            </w:hyperlink>
          </w:p>
          <w:p w14:paraId="03BA1B2C" w14:textId="77777777" w:rsidR="00C64C13" w:rsidRPr="00C64C13" w:rsidRDefault="00CA6F5D" w:rsidP="009A7372">
            <w:pPr>
              <w:pStyle w:val="ListParagraph"/>
              <w:numPr>
                <w:ilvl w:val="0"/>
                <w:numId w:val="10"/>
              </w:numPr>
              <w:rPr>
                <w:rFonts w:cstheme="minorHAnsi"/>
              </w:rPr>
            </w:pPr>
            <w:hyperlink r:id="rId18" w:history="1">
              <w:r w:rsidR="00016A63" w:rsidRPr="00C64C13">
                <w:rPr>
                  <w:rStyle w:val="Hyperlink"/>
                  <w:rFonts w:cstheme="minorHAnsi"/>
                </w:rPr>
                <w:t xml:space="preserve">Travel </w:t>
              </w:r>
              <w:r w:rsidR="00C64C13" w:rsidRPr="00C64C13">
                <w:rPr>
                  <w:rStyle w:val="Hyperlink"/>
                  <w:rFonts w:cstheme="minorHAnsi"/>
                </w:rPr>
                <w:t xml:space="preserve">Restrictions and </w:t>
              </w:r>
              <w:r w:rsidR="00016A63" w:rsidRPr="00C64C13">
                <w:rPr>
                  <w:rStyle w:val="Hyperlink"/>
                  <w:rFonts w:cstheme="minorHAnsi"/>
                </w:rPr>
                <w:t>Exemption</w:t>
              </w:r>
              <w:r w:rsidR="00C64C13" w:rsidRPr="00C64C13">
                <w:rPr>
                  <w:rStyle w:val="Hyperlink"/>
                  <w:rFonts w:cstheme="minorHAnsi"/>
                </w:rPr>
                <w:t>s</w:t>
              </w:r>
            </w:hyperlink>
            <w:r w:rsidR="00016A63" w:rsidRPr="00C64C13">
              <w:rPr>
                <w:rFonts w:cstheme="minorHAnsi"/>
              </w:rPr>
              <w:t xml:space="preserve"> </w:t>
            </w:r>
          </w:p>
          <w:p w14:paraId="0188A070" w14:textId="11762FF5" w:rsidR="00016A63" w:rsidRPr="00C64C13" w:rsidRDefault="00CA6F5D" w:rsidP="00C64C13">
            <w:pPr>
              <w:pStyle w:val="ListParagraph"/>
              <w:numPr>
                <w:ilvl w:val="0"/>
                <w:numId w:val="18"/>
              </w:numPr>
              <w:rPr>
                <w:rFonts w:cstheme="minorHAnsi"/>
              </w:rPr>
            </w:pPr>
            <w:hyperlink r:id="rId19" w:history="1">
              <w:r w:rsidR="00EE1ED9">
                <w:rPr>
                  <w:rStyle w:val="Hyperlink"/>
                  <w:rFonts w:cstheme="minorHAnsi"/>
                </w:rPr>
                <w:t>Victorian mandatory quarantine</w:t>
              </w:r>
            </w:hyperlink>
            <w:r w:rsidR="00016A63" w:rsidRPr="00C64C13">
              <w:rPr>
                <w:rFonts w:cstheme="minorHAnsi"/>
              </w:rPr>
              <w:t xml:space="preserve"> </w:t>
            </w:r>
          </w:p>
          <w:p w14:paraId="7E7F3443" w14:textId="6ED4AB53" w:rsidR="00016A63" w:rsidRPr="00C64C13" w:rsidRDefault="00CA6F5D" w:rsidP="00C64C13">
            <w:pPr>
              <w:pStyle w:val="ListParagraph"/>
              <w:numPr>
                <w:ilvl w:val="0"/>
                <w:numId w:val="18"/>
              </w:numPr>
              <w:rPr>
                <w:rFonts w:cstheme="minorHAnsi"/>
              </w:rPr>
            </w:pPr>
            <w:hyperlink r:id="rId20" w:history="1">
              <w:r w:rsidR="00EE1ED9">
                <w:rPr>
                  <w:rStyle w:val="Hyperlink"/>
                  <w:rFonts w:cstheme="minorHAnsi"/>
                </w:rPr>
                <w:t>New South Wales mandatory quarantine</w:t>
              </w:r>
            </w:hyperlink>
            <w:r w:rsidR="00016A63" w:rsidRPr="00C64C13">
              <w:rPr>
                <w:rFonts w:cstheme="minorHAnsi"/>
              </w:rPr>
              <w:t xml:space="preserve"> </w:t>
            </w:r>
          </w:p>
          <w:p w14:paraId="76E483E8" w14:textId="77777777" w:rsidR="00EE1ED9" w:rsidRPr="00CD4897" w:rsidRDefault="00CA6F5D" w:rsidP="009A4292">
            <w:pPr>
              <w:pStyle w:val="ListParagraph"/>
              <w:numPr>
                <w:ilvl w:val="0"/>
                <w:numId w:val="18"/>
              </w:numPr>
              <w:rPr>
                <w:rFonts w:cstheme="minorHAnsi"/>
              </w:rPr>
            </w:pPr>
            <w:hyperlink r:id="rId21" w:history="1">
              <w:r w:rsidR="009A4292">
                <w:rPr>
                  <w:rStyle w:val="Hyperlink"/>
                  <w:rFonts w:cstheme="minorHAnsi"/>
                </w:rPr>
                <w:t>Queensland</w:t>
              </w:r>
              <w:r w:rsidR="00EE1ED9">
                <w:rPr>
                  <w:rStyle w:val="Hyperlink"/>
                  <w:rFonts w:cstheme="minorHAnsi"/>
                </w:rPr>
                <w:t xml:space="preserve"> mandatory quarantine</w:t>
              </w:r>
            </w:hyperlink>
            <w:r w:rsidR="00016A63" w:rsidRPr="00C64C13">
              <w:rPr>
                <w:rFonts w:cstheme="minorHAnsi"/>
              </w:rPr>
              <w:t xml:space="preserve"> </w:t>
            </w:r>
            <w:r w:rsidR="009843EF" w:rsidRPr="00EE1ED9">
              <w:rPr>
                <w:rFonts w:ascii="Calibri" w:hAnsi="Calibri"/>
                <w:color w:val="000000"/>
              </w:rPr>
              <w:t> </w:t>
            </w:r>
          </w:p>
          <w:p w14:paraId="048349CB" w14:textId="444DC753" w:rsidR="00CD4897" w:rsidRPr="00CD4897" w:rsidRDefault="00CD4897" w:rsidP="00CD4897">
            <w:pPr>
              <w:rPr>
                <w:rFonts w:cstheme="minorHAnsi"/>
              </w:rPr>
            </w:pPr>
          </w:p>
        </w:tc>
      </w:tr>
    </w:tbl>
    <w:p w14:paraId="14119DB4" w14:textId="44E21488" w:rsidR="009A4292" w:rsidRPr="009A4292" w:rsidRDefault="009A4292" w:rsidP="009A4292">
      <w:pPr>
        <w:tabs>
          <w:tab w:val="left" w:pos="1240"/>
        </w:tabs>
        <w:rPr>
          <w:rFonts w:cstheme="minorHAnsi"/>
        </w:rPr>
      </w:pPr>
    </w:p>
    <w:sectPr w:rsidR="009A4292" w:rsidRPr="009A4292" w:rsidSect="00EE1ED9">
      <w:footerReference w:type="default" r:id="rId22"/>
      <w:headerReference w:type="first" r:id="rId23"/>
      <w:footerReference w:type="first" r:id="rId24"/>
      <w:pgSz w:w="11906" w:h="16838"/>
      <w:pgMar w:top="720" w:right="720" w:bottom="720" w:left="720" w:header="708"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850D" w14:textId="77777777" w:rsidR="00CA6F5D" w:rsidRDefault="00CA6F5D" w:rsidP="002B3851">
      <w:pPr>
        <w:spacing w:after="0" w:line="240" w:lineRule="auto"/>
      </w:pPr>
      <w:r>
        <w:separator/>
      </w:r>
    </w:p>
  </w:endnote>
  <w:endnote w:type="continuationSeparator" w:id="0">
    <w:p w14:paraId="72DE1DD7" w14:textId="77777777" w:rsidR="00CA6F5D" w:rsidRDefault="00CA6F5D" w:rsidP="002B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FDA6" w14:textId="269FC811" w:rsidR="00B070B0" w:rsidRDefault="00B070B0" w:rsidP="00B070B0">
    <w:pPr>
      <w:pStyle w:val="Footer"/>
      <w:tabs>
        <w:tab w:val="clear" w:pos="4513"/>
        <w:tab w:val="clear" w:pos="9026"/>
        <w:tab w:val="right" w:pos="9923"/>
      </w:tabs>
      <w:rPr>
        <w:noProof/>
        <w:sz w:val="18"/>
        <w:szCs w:val="18"/>
      </w:rPr>
    </w:pPr>
    <w:r>
      <w:rPr>
        <w:sz w:val="18"/>
      </w:rPr>
      <w:tab/>
    </w:r>
    <w:r w:rsidR="008A1AAA">
      <w:rPr>
        <w:sz w:val="18"/>
      </w:rPr>
      <w:t>International candidate commencement information_</w:t>
    </w:r>
    <w:r w:rsidR="00CD4897">
      <w:rPr>
        <w:sz w:val="18"/>
      </w:rPr>
      <w:t>V2_</w:t>
    </w:r>
    <w:r w:rsidR="008A1AAA">
      <w:rPr>
        <w:sz w:val="18"/>
      </w:rPr>
      <w:t>202107</w:t>
    </w:r>
    <w:r w:rsidR="00CD4897">
      <w:rPr>
        <w:sz w:val="18"/>
      </w:rPr>
      <w:t>12</w:t>
    </w:r>
  </w:p>
  <w:p w14:paraId="51E84244" w14:textId="6BE934E0" w:rsidR="00B070B0" w:rsidRPr="000806F9" w:rsidRDefault="00B070B0" w:rsidP="00B070B0">
    <w:pPr>
      <w:pStyle w:val="Footer"/>
      <w:tabs>
        <w:tab w:val="clear" w:pos="4513"/>
        <w:tab w:val="clear" w:pos="9026"/>
        <w:tab w:val="right" w:pos="9923"/>
      </w:tabs>
    </w:pPr>
    <w:r>
      <w:rPr>
        <w:noProof/>
        <w:sz w:val="18"/>
        <w:szCs w:val="18"/>
      </w:rPr>
      <w:tab/>
      <w:t xml:space="preserve">Page </w:t>
    </w:r>
    <w:r w:rsidRPr="002E206F">
      <w:rPr>
        <w:noProof/>
        <w:sz w:val="18"/>
        <w:szCs w:val="18"/>
      </w:rPr>
      <w:fldChar w:fldCharType="begin"/>
    </w:r>
    <w:r w:rsidRPr="002E206F">
      <w:rPr>
        <w:noProof/>
        <w:sz w:val="18"/>
        <w:szCs w:val="18"/>
      </w:rPr>
      <w:instrText xml:space="preserve"> PAGE   \* MERGEFORMAT </w:instrText>
    </w:r>
    <w:r w:rsidRPr="002E206F">
      <w:rPr>
        <w:noProof/>
        <w:sz w:val="18"/>
        <w:szCs w:val="18"/>
      </w:rPr>
      <w:fldChar w:fldCharType="separate"/>
    </w:r>
    <w:r>
      <w:rPr>
        <w:noProof/>
        <w:sz w:val="18"/>
        <w:szCs w:val="18"/>
      </w:rPr>
      <w:t>1</w:t>
    </w:r>
    <w:r w:rsidRPr="002E206F">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8</w:t>
    </w:r>
    <w:r>
      <w:rPr>
        <w:noProof/>
        <w:sz w:val="18"/>
        <w:szCs w:val="18"/>
      </w:rPr>
      <w:fldChar w:fldCharType="end"/>
    </w:r>
    <w:r>
      <w:rPr>
        <w:noProof/>
        <w:sz w:val="18"/>
        <w:szCs w:val="18"/>
      </w:rPr>
      <w:tab/>
    </w:r>
  </w:p>
  <w:p w14:paraId="27B6EF91" w14:textId="38A43B59" w:rsidR="009619CD" w:rsidRDefault="009619CD" w:rsidP="00B070B0">
    <w:pPr>
      <w:pStyle w:val="Footer"/>
      <w:tabs>
        <w:tab w:val="clear" w:pos="9026"/>
        <w:tab w:val="right" w:pos="1034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151654"/>
      <w:docPartObj>
        <w:docPartGallery w:val="Page Numbers (Bottom of Page)"/>
        <w:docPartUnique/>
      </w:docPartObj>
    </w:sdtPr>
    <w:sdtEndPr>
      <w:rPr>
        <w:noProof/>
      </w:rPr>
    </w:sdtEndPr>
    <w:sdtContent>
      <w:p w14:paraId="509C8103" w14:textId="77777777" w:rsidR="00876B62" w:rsidRDefault="00876B62" w:rsidP="00876B62">
        <w:pPr>
          <w:pStyle w:val="Footer"/>
          <w:tabs>
            <w:tab w:val="clear" w:pos="4513"/>
            <w:tab w:val="clear" w:pos="9026"/>
            <w:tab w:val="right" w:pos="9923"/>
          </w:tabs>
        </w:pPr>
      </w:p>
      <w:p w14:paraId="1F0E2AAE" w14:textId="141821CE" w:rsidR="00876B62" w:rsidRDefault="00876B62" w:rsidP="00876B62">
        <w:pPr>
          <w:pStyle w:val="Footer"/>
          <w:tabs>
            <w:tab w:val="clear" w:pos="4513"/>
            <w:tab w:val="clear" w:pos="9026"/>
            <w:tab w:val="right" w:pos="9923"/>
          </w:tabs>
          <w:rPr>
            <w:noProof/>
            <w:sz w:val="18"/>
            <w:szCs w:val="18"/>
          </w:rPr>
        </w:pPr>
        <w:r>
          <w:rPr>
            <w:noProof/>
            <w:sz w:val="18"/>
            <w:szCs w:val="18"/>
          </w:rPr>
          <w:t>Australian Catholic University Limited</w:t>
        </w:r>
        <w:r>
          <w:rPr>
            <w:sz w:val="18"/>
          </w:rPr>
          <w:t xml:space="preserve"> </w:t>
        </w:r>
        <w:r>
          <w:rPr>
            <w:sz w:val="18"/>
          </w:rPr>
          <w:tab/>
        </w:r>
        <w:r w:rsidR="00EE1ED9">
          <w:rPr>
            <w:sz w:val="18"/>
          </w:rPr>
          <w:t xml:space="preserve">International candidate commencement </w:t>
        </w:r>
        <w:proofErr w:type="spellStart"/>
        <w:r w:rsidR="00EE1ED9">
          <w:rPr>
            <w:sz w:val="18"/>
          </w:rPr>
          <w:t>information_</w:t>
        </w:r>
        <w:r w:rsidR="00CD4897">
          <w:rPr>
            <w:sz w:val="18"/>
          </w:rPr>
          <w:t>Version</w:t>
        </w:r>
        <w:proofErr w:type="spellEnd"/>
        <w:r w:rsidR="00CD4897">
          <w:rPr>
            <w:sz w:val="18"/>
          </w:rPr>
          <w:t xml:space="preserve"> 2_</w:t>
        </w:r>
        <w:r w:rsidR="00EE1ED9">
          <w:rPr>
            <w:sz w:val="18"/>
          </w:rPr>
          <w:t>20210</w:t>
        </w:r>
        <w:r w:rsidR="000B2B33">
          <w:rPr>
            <w:sz w:val="18"/>
          </w:rPr>
          <w:t>827</w:t>
        </w:r>
      </w:p>
      <w:p w14:paraId="7D881FD6" w14:textId="70B6E451" w:rsidR="00876B62" w:rsidRDefault="00876B62" w:rsidP="00876B62">
        <w:pPr>
          <w:pStyle w:val="Footer"/>
          <w:tabs>
            <w:tab w:val="clear" w:pos="4513"/>
            <w:tab w:val="clear" w:pos="9026"/>
            <w:tab w:val="right" w:pos="9923"/>
          </w:tabs>
          <w:rPr>
            <w:noProof/>
            <w:sz w:val="18"/>
            <w:szCs w:val="18"/>
          </w:rPr>
        </w:pPr>
        <w:r>
          <w:rPr>
            <w:noProof/>
            <w:sz w:val="18"/>
            <w:szCs w:val="18"/>
          </w:rPr>
          <w:t>ABN 15 050 192 660</w:t>
        </w:r>
        <w:r w:rsidRPr="002E206F">
          <w:rPr>
            <w:noProof/>
            <w:sz w:val="18"/>
            <w:szCs w:val="18"/>
          </w:rPr>
          <w:t xml:space="preserve"> </w:t>
        </w:r>
        <w:r>
          <w:rPr>
            <w:noProof/>
            <w:sz w:val="18"/>
            <w:szCs w:val="18"/>
          </w:rPr>
          <w:tab/>
          <w:t xml:space="preserve">Page </w:t>
        </w:r>
        <w:r w:rsidRPr="002E206F">
          <w:rPr>
            <w:noProof/>
            <w:sz w:val="18"/>
            <w:szCs w:val="18"/>
          </w:rPr>
          <w:fldChar w:fldCharType="begin"/>
        </w:r>
        <w:r w:rsidRPr="002E206F">
          <w:rPr>
            <w:noProof/>
            <w:sz w:val="18"/>
            <w:szCs w:val="18"/>
          </w:rPr>
          <w:instrText xml:space="preserve"> PAGE   \* MERGEFORMAT </w:instrText>
        </w:r>
        <w:r w:rsidRPr="002E206F">
          <w:rPr>
            <w:noProof/>
            <w:sz w:val="18"/>
            <w:szCs w:val="18"/>
          </w:rPr>
          <w:fldChar w:fldCharType="separate"/>
        </w:r>
        <w:r w:rsidR="00DF74C6">
          <w:rPr>
            <w:noProof/>
            <w:sz w:val="18"/>
            <w:szCs w:val="18"/>
          </w:rPr>
          <w:t>1</w:t>
        </w:r>
        <w:r w:rsidRPr="002E206F">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DF74C6">
          <w:rPr>
            <w:noProof/>
            <w:sz w:val="18"/>
            <w:szCs w:val="18"/>
          </w:rPr>
          <w:t>9</w:t>
        </w:r>
        <w:r>
          <w:rPr>
            <w:noProof/>
            <w:sz w:val="18"/>
            <w:szCs w:val="18"/>
          </w:rPr>
          <w:fldChar w:fldCharType="end"/>
        </w:r>
        <w:r>
          <w:rPr>
            <w:noProof/>
            <w:sz w:val="18"/>
            <w:szCs w:val="18"/>
          </w:rPr>
          <w:tab/>
        </w:r>
      </w:p>
      <w:p w14:paraId="6A3A51A5" w14:textId="77777777" w:rsidR="00876B62" w:rsidRPr="000806F9" w:rsidRDefault="00876B62" w:rsidP="00876B62">
        <w:pPr>
          <w:pStyle w:val="Footer"/>
          <w:tabs>
            <w:tab w:val="left" w:pos="8700"/>
          </w:tabs>
        </w:pPr>
        <w:r>
          <w:rPr>
            <w:noProof/>
            <w:sz w:val="18"/>
            <w:szCs w:val="18"/>
          </w:rPr>
          <w:t>CRICOS registered provider: 00004G</w:t>
        </w:r>
      </w:p>
      <w:p w14:paraId="5A5B1F5A" w14:textId="77777777" w:rsidR="008606B2" w:rsidRDefault="00CA6F5D" w:rsidP="00876B62">
        <w:pPr>
          <w:pStyle w:val="Footer"/>
          <w:tabs>
            <w:tab w:val="left" w:pos="870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A5A7" w14:textId="77777777" w:rsidR="00CA6F5D" w:rsidRDefault="00CA6F5D" w:rsidP="002B3851">
      <w:pPr>
        <w:spacing w:after="0" w:line="240" w:lineRule="auto"/>
      </w:pPr>
      <w:r>
        <w:separator/>
      </w:r>
    </w:p>
  </w:footnote>
  <w:footnote w:type="continuationSeparator" w:id="0">
    <w:p w14:paraId="3D7E75E8" w14:textId="77777777" w:rsidR="00CA6F5D" w:rsidRDefault="00CA6F5D" w:rsidP="002B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C192" w14:textId="4EB01B18" w:rsidR="00922C0E" w:rsidRDefault="00922C0E" w:rsidP="00922C0E">
    <w:pPr>
      <w:pStyle w:val="Header"/>
      <w:tabs>
        <w:tab w:val="clear" w:pos="4513"/>
      </w:tabs>
      <w:jc w:val="right"/>
      <w:rPr>
        <w:rFonts w:ascii="Arial" w:hAnsi="Arial" w:cs="Arial"/>
        <w:b/>
        <w:color w:val="3C1053"/>
        <w:sz w:val="40"/>
        <w:szCs w:val="40"/>
      </w:rPr>
    </w:pPr>
    <w:r>
      <w:rPr>
        <w:rFonts w:ascii="Arial" w:hAnsi="Arial" w:cs="Arial"/>
        <w:b/>
        <w:noProof/>
        <w:color w:val="3C1053"/>
        <w:sz w:val="40"/>
        <w:szCs w:val="40"/>
      </w:rPr>
      <w:drawing>
        <wp:inline distT="0" distB="0" distL="0" distR="0" wp14:anchorId="550C46F4" wp14:editId="3706774E">
          <wp:extent cx="1221931" cy="431777"/>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799" cy="476607"/>
                  </a:xfrm>
                  <a:prstGeom prst="rect">
                    <a:avLst/>
                  </a:prstGeom>
                </pic:spPr>
              </pic:pic>
            </a:graphicData>
          </a:graphic>
        </wp:inline>
      </w:drawing>
    </w:r>
  </w:p>
  <w:p w14:paraId="228FB4BC" w14:textId="7606141B" w:rsidR="000D7AFC" w:rsidRDefault="001454EF" w:rsidP="00922C0E">
    <w:pPr>
      <w:pStyle w:val="Header"/>
      <w:tabs>
        <w:tab w:val="clear" w:pos="4513"/>
      </w:tabs>
      <w:rPr>
        <w:rFonts w:ascii="Arial" w:hAnsi="Arial" w:cs="Arial"/>
        <w:b/>
        <w:color w:val="3C1053"/>
        <w:sz w:val="40"/>
        <w:szCs w:val="40"/>
      </w:rPr>
    </w:pPr>
    <w:r>
      <w:rPr>
        <w:rFonts w:ascii="Arial" w:hAnsi="Arial" w:cs="Arial"/>
        <w:b/>
        <w:color w:val="3C1053"/>
        <w:sz w:val="40"/>
        <w:szCs w:val="40"/>
      </w:rPr>
      <w:t>International Candidate</w:t>
    </w:r>
    <w:r w:rsidR="00777A5D">
      <w:rPr>
        <w:rFonts w:ascii="Arial" w:hAnsi="Arial" w:cs="Arial"/>
        <w:b/>
        <w:color w:val="3C1053"/>
        <w:sz w:val="40"/>
        <w:szCs w:val="40"/>
      </w:rPr>
      <w:t xml:space="preserve"> commencement information </w:t>
    </w:r>
  </w:p>
  <w:p w14:paraId="22C3A840" w14:textId="4956516A" w:rsidR="00777A5D" w:rsidRPr="00777A5D" w:rsidRDefault="00777A5D" w:rsidP="00922C0E">
    <w:pPr>
      <w:pStyle w:val="Header"/>
      <w:tabs>
        <w:tab w:val="clear" w:pos="4513"/>
      </w:tabs>
      <w:rPr>
        <w:rFonts w:ascii="Arial" w:hAnsi="Arial" w:cs="Arial"/>
        <w:b/>
        <w:color w:val="3D3935"/>
      </w:rPr>
    </w:pPr>
    <w:r w:rsidRPr="00515761">
      <w:rPr>
        <w:rFonts w:ascii="Arial" w:hAnsi="Arial" w:cs="Arial"/>
        <w:b/>
        <w:color w:val="3D3935"/>
      </w:rPr>
      <w:t>For</w:t>
    </w:r>
    <w:r>
      <w:rPr>
        <w:rFonts w:ascii="Arial" w:hAnsi="Arial" w:cs="Arial"/>
        <w:b/>
        <w:color w:val="3D3935"/>
      </w:rPr>
      <w:t xml:space="preserve"> international </w:t>
    </w:r>
    <w:r w:rsidRPr="00515761">
      <w:rPr>
        <w:rFonts w:ascii="Arial" w:hAnsi="Arial" w:cs="Arial"/>
        <w:b/>
        <w:color w:val="3D3935"/>
      </w:rPr>
      <w:t>higher degree research candidates</w:t>
    </w:r>
    <w:r>
      <w:rPr>
        <w:rFonts w:ascii="Arial" w:hAnsi="Arial" w:cs="Arial"/>
        <w:b/>
        <w:color w:val="3D3935"/>
      </w:rPr>
      <w:t xml:space="preserve"> who have been approved for admission to ACU</w:t>
    </w:r>
  </w:p>
  <w:p w14:paraId="164AD5C1" w14:textId="77777777" w:rsidR="00E00F14" w:rsidRPr="000D7AFC" w:rsidRDefault="00CA6F5D" w:rsidP="000D7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EC5"/>
    <w:multiLevelType w:val="hybridMultilevel"/>
    <w:tmpl w:val="84F64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12027B"/>
    <w:multiLevelType w:val="multilevel"/>
    <w:tmpl w:val="9008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7388A"/>
    <w:multiLevelType w:val="multilevel"/>
    <w:tmpl w:val="70D2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B127C8"/>
    <w:multiLevelType w:val="hybridMultilevel"/>
    <w:tmpl w:val="84F64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F063CC"/>
    <w:multiLevelType w:val="hybridMultilevel"/>
    <w:tmpl w:val="BCB058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7B7C31"/>
    <w:multiLevelType w:val="multilevel"/>
    <w:tmpl w:val="200CE3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9694A85"/>
    <w:multiLevelType w:val="hybridMultilevel"/>
    <w:tmpl w:val="B9349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83BD2"/>
    <w:multiLevelType w:val="hybridMultilevel"/>
    <w:tmpl w:val="721877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A2668"/>
    <w:multiLevelType w:val="hybridMultilevel"/>
    <w:tmpl w:val="5CCE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2438BD"/>
    <w:multiLevelType w:val="hybridMultilevel"/>
    <w:tmpl w:val="EFD4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B2E4A"/>
    <w:multiLevelType w:val="hybridMultilevel"/>
    <w:tmpl w:val="EBB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F7ABE"/>
    <w:multiLevelType w:val="hybridMultilevel"/>
    <w:tmpl w:val="26D28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E1C52"/>
    <w:multiLevelType w:val="hybridMultilevel"/>
    <w:tmpl w:val="798C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E2C69"/>
    <w:multiLevelType w:val="hybridMultilevel"/>
    <w:tmpl w:val="E078DC3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15:restartNumberingAfterBreak="0">
    <w:nsid w:val="69285E58"/>
    <w:multiLevelType w:val="hybridMultilevel"/>
    <w:tmpl w:val="1B54C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53645"/>
    <w:multiLevelType w:val="hybridMultilevel"/>
    <w:tmpl w:val="84F64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CA47C4"/>
    <w:multiLevelType w:val="hybridMultilevel"/>
    <w:tmpl w:val="D12E5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2F4020"/>
    <w:multiLevelType w:val="hybridMultilevel"/>
    <w:tmpl w:val="C8807422"/>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16"/>
  </w:num>
  <w:num w:numId="5">
    <w:abstractNumId w:val="12"/>
  </w:num>
  <w:num w:numId="6">
    <w:abstractNumId w:val="13"/>
  </w:num>
  <w:num w:numId="7">
    <w:abstractNumId w:val="10"/>
  </w:num>
  <w:num w:numId="8">
    <w:abstractNumId w:val="9"/>
  </w:num>
  <w:num w:numId="9">
    <w:abstractNumId w:val="8"/>
  </w:num>
  <w:num w:numId="10">
    <w:abstractNumId w:val="17"/>
  </w:num>
  <w:num w:numId="11">
    <w:abstractNumId w:val="5"/>
  </w:num>
  <w:num w:numId="12">
    <w:abstractNumId w:val="2"/>
  </w:num>
  <w:num w:numId="13">
    <w:abstractNumId w:val="4"/>
  </w:num>
  <w:num w:numId="14">
    <w:abstractNumId w:val="1"/>
  </w:num>
  <w:num w:numId="15">
    <w:abstractNumId w:val="6"/>
  </w:num>
  <w:num w:numId="16">
    <w:abstractNumId w:val="1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4096" w:nlCheck="1" w:checkStyle="0"/>
  <w:activeWritingStyle w:appName="MSWord" w:lang="en-AU" w:vendorID="64" w:dllVersion="0" w:nlCheck="1" w:checkStyle="0"/>
  <w:activeWritingStyle w:appName="MSWord" w:lang="en-GB" w:vendorID="64" w:dllVersion="0" w:nlCheck="1" w:checkStyle="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A751O811K292H922"/>
    <w:docVar w:name="paperpile-doc-name" w:val="Offshore Application Form_20210611_CL.docx"/>
  </w:docVars>
  <w:rsids>
    <w:rsidRoot w:val="002B3851"/>
    <w:rsid w:val="0000225D"/>
    <w:rsid w:val="00006F04"/>
    <w:rsid w:val="0000772B"/>
    <w:rsid w:val="00016A63"/>
    <w:rsid w:val="00023AA2"/>
    <w:rsid w:val="000372B2"/>
    <w:rsid w:val="0004187A"/>
    <w:rsid w:val="00044062"/>
    <w:rsid w:val="00045ABE"/>
    <w:rsid w:val="00055E40"/>
    <w:rsid w:val="00063E05"/>
    <w:rsid w:val="000853D0"/>
    <w:rsid w:val="00087E29"/>
    <w:rsid w:val="00092ECF"/>
    <w:rsid w:val="000968E9"/>
    <w:rsid w:val="00097BD6"/>
    <w:rsid w:val="000A0CF2"/>
    <w:rsid w:val="000A2FD5"/>
    <w:rsid w:val="000A52D8"/>
    <w:rsid w:val="000A6A08"/>
    <w:rsid w:val="000A7981"/>
    <w:rsid w:val="000B2B33"/>
    <w:rsid w:val="000B38AE"/>
    <w:rsid w:val="000C1F64"/>
    <w:rsid w:val="000C1FDF"/>
    <w:rsid w:val="000C428B"/>
    <w:rsid w:val="000C4E31"/>
    <w:rsid w:val="000C783F"/>
    <w:rsid w:val="000D1513"/>
    <w:rsid w:val="000D2955"/>
    <w:rsid w:val="000D50E7"/>
    <w:rsid w:val="000D7AFC"/>
    <w:rsid w:val="0011083E"/>
    <w:rsid w:val="00114017"/>
    <w:rsid w:val="001243CC"/>
    <w:rsid w:val="001274AD"/>
    <w:rsid w:val="00130499"/>
    <w:rsid w:val="00131F8E"/>
    <w:rsid w:val="00133385"/>
    <w:rsid w:val="001454EF"/>
    <w:rsid w:val="00156EC3"/>
    <w:rsid w:val="00161A82"/>
    <w:rsid w:val="00165B08"/>
    <w:rsid w:val="00176415"/>
    <w:rsid w:val="001937FE"/>
    <w:rsid w:val="00194860"/>
    <w:rsid w:val="001A0461"/>
    <w:rsid w:val="001A49E7"/>
    <w:rsid w:val="001B66EC"/>
    <w:rsid w:val="001C065F"/>
    <w:rsid w:val="001C5170"/>
    <w:rsid w:val="001C620D"/>
    <w:rsid w:val="001D60C2"/>
    <w:rsid w:val="002001DA"/>
    <w:rsid w:val="00206352"/>
    <w:rsid w:val="00210569"/>
    <w:rsid w:val="00215269"/>
    <w:rsid w:val="00225095"/>
    <w:rsid w:val="002403DF"/>
    <w:rsid w:val="0024080F"/>
    <w:rsid w:val="002559B4"/>
    <w:rsid w:val="00261DA4"/>
    <w:rsid w:val="00262BE7"/>
    <w:rsid w:val="00265031"/>
    <w:rsid w:val="002664B2"/>
    <w:rsid w:val="002707F3"/>
    <w:rsid w:val="0027241F"/>
    <w:rsid w:val="00272B8D"/>
    <w:rsid w:val="002730A9"/>
    <w:rsid w:val="00273721"/>
    <w:rsid w:val="00284DB7"/>
    <w:rsid w:val="002864D1"/>
    <w:rsid w:val="002942F5"/>
    <w:rsid w:val="002A1CB4"/>
    <w:rsid w:val="002B3851"/>
    <w:rsid w:val="002C297A"/>
    <w:rsid w:val="002C3497"/>
    <w:rsid w:val="002D39DD"/>
    <w:rsid w:val="002D42C9"/>
    <w:rsid w:val="002D7450"/>
    <w:rsid w:val="002E0BAA"/>
    <w:rsid w:val="002E3DAC"/>
    <w:rsid w:val="002E53AC"/>
    <w:rsid w:val="002F43E5"/>
    <w:rsid w:val="002F5B52"/>
    <w:rsid w:val="00300294"/>
    <w:rsid w:val="00300D37"/>
    <w:rsid w:val="00301ED5"/>
    <w:rsid w:val="00302EC1"/>
    <w:rsid w:val="003054DB"/>
    <w:rsid w:val="003103C5"/>
    <w:rsid w:val="00312362"/>
    <w:rsid w:val="00322595"/>
    <w:rsid w:val="003244C9"/>
    <w:rsid w:val="00326662"/>
    <w:rsid w:val="0033567B"/>
    <w:rsid w:val="0033672B"/>
    <w:rsid w:val="00342D36"/>
    <w:rsid w:val="003449E9"/>
    <w:rsid w:val="003765F8"/>
    <w:rsid w:val="00380068"/>
    <w:rsid w:val="00390FD7"/>
    <w:rsid w:val="00395960"/>
    <w:rsid w:val="003B060C"/>
    <w:rsid w:val="003C2779"/>
    <w:rsid w:val="003E1063"/>
    <w:rsid w:val="003E7786"/>
    <w:rsid w:val="003F1BE7"/>
    <w:rsid w:val="003F2C4C"/>
    <w:rsid w:val="003F69E4"/>
    <w:rsid w:val="00403453"/>
    <w:rsid w:val="00404512"/>
    <w:rsid w:val="00413337"/>
    <w:rsid w:val="00417C94"/>
    <w:rsid w:val="004264FD"/>
    <w:rsid w:val="00426E39"/>
    <w:rsid w:val="00427A69"/>
    <w:rsid w:val="00430635"/>
    <w:rsid w:val="004347EF"/>
    <w:rsid w:val="00440D8A"/>
    <w:rsid w:val="00447561"/>
    <w:rsid w:val="004536B7"/>
    <w:rsid w:val="00453AFC"/>
    <w:rsid w:val="004640CD"/>
    <w:rsid w:val="004719C1"/>
    <w:rsid w:val="00475BC1"/>
    <w:rsid w:val="004776C9"/>
    <w:rsid w:val="00483CA0"/>
    <w:rsid w:val="00490BAA"/>
    <w:rsid w:val="00491869"/>
    <w:rsid w:val="004A217D"/>
    <w:rsid w:val="004A3960"/>
    <w:rsid w:val="004A42FC"/>
    <w:rsid w:val="004B2E5A"/>
    <w:rsid w:val="004B4CF2"/>
    <w:rsid w:val="004B66EE"/>
    <w:rsid w:val="004C7D8E"/>
    <w:rsid w:val="004D15EA"/>
    <w:rsid w:val="004D3319"/>
    <w:rsid w:val="004D52CE"/>
    <w:rsid w:val="004D6114"/>
    <w:rsid w:val="004D7DEA"/>
    <w:rsid w:val="004E1BC6"/>
    <w:rsid w:val="004E7314"/>
    <w:rsid w:val="00510383"/>
    <w:rsid w:val="00512164"/>
    <w:rsid w:val="00520F78"/>
    <w:rsid w:val="00526127"/>
    <w:rsid w:val="005306F0"/>
    <w:rsid w:val="00530F85"/>
    <w:rsid w:val="00540DB5"/>
    <w:rsid w:val="005441D1"/>
    <w:rsid w:val="0056039C"/>
    <w:rsid w:val="005717F1"/>
    <w:rsid w:val="00575AC7"/>
    <w:rsid w:val="00580877"/>
    <w:rsid w:val="0058301F"/>
    <w:rsid w:val="005842AA"/>
    <w:rsid w:val="005861A1"/>
    <w:rsid w:val="0059225F"/>
    <w:rsid w:val="005925DE"/>
    <w:rsid w:val="005970FE"/>
    <w:rsid w:val="005A31D8"/>
    <w:rsid w:val="005A3FAB"/>
    <w:rsid w:val="005A5F34"/>
    <w:rsid w:val="005A72AE"/>
    <w:rsid w:val="005B067E"/>
    <w:rsid w:val="005B3EE3"/>
    <w:rsid w:val="005D161D"/>
    <w:rsid w:val="005E1253"/>
    <w:rsid w:val="005E581D"/>
    <w:rsid w:val="005F277F"/>
    <w:rsid w:val="005F2FF3"/>
    <w:rsid w:val="005F6E17"/>
    <w:rsid w:val="0060185A"/>
    <w:rsid w:val="006063A6"/>
    <w:rsid w:val="006103E2"/>
    <w:rsid w:val="00613C03"/>
    <w:rsid w:val="00615DC6"/>
    <w:rsid w:val="00624816"/>
    <w:rsid w:val="00630E07"/>
    <w:rsid w:val="0063470A"/>
    <w:rsid w:val="00643238"/>
    <w:rsid w:val="00647551"/>
    <w:rsid w:val="00666B10"/>
    <w:rsid w:val="0067572A"/>
    <w:rsid w:val="0068001B"/>
    <w:rsid w:val="006942C3"/>
    <w:rsid w:val="006950E5"/>
    <w:rsid w:val="00695CB4"/>
    <w:rsid w:val="00697AAE"/>
    <w:rsid w:val="006A4E85"/>
    <w:rsid w:val="006A687D"/>
    <w:rsid w:val="006C1576"/>
    <w:rsid w:val="006C7EE9"/>
    <w:rsid w:val="006D569A"/>
    <w:rsid w:val="006F599A"/>
    <w:rsid w:val="006F6C20"/>
    <w:rsid w:val="007031FF"/>
    <w:rsid w:val="007156CA"/>
    <w:rsid w:val="00722457"/>
    <w:rsid w:val="00722B84"/>
    <w:rsid w:val="00726710"/>
    <w:rsid w:val="00742283"/>
    <w:rsid w:val="007429A3"/>
    <w:rsid w:val="00743A44"/>
    <w:rsid w:val="00762CF7"/>
    <w:rsid w:val="007729D6"/>
    <w:rsid w:val="00777A5D"/>
    <w:rsid w:val="007808EC"/>
    <w:rsid w:val="00782BDA"/>
    <w:rsid w:val="00783F9D"/>
    <w:rsid w:val="007862E2"/>
    <w:rsid w:val="007A1332"/>
    <w:rsid w:val="007A34FC"/>
    <w:rsid w:val="007B1012"/>
    <w:rsid w:val="007B15A6"/>
    <w:rsid w:val="007B69E9"/>
    <w:rsid w:val="007C5E1E"/>
    <w:rsid w:val="007C6E01"/>
    <w:rsid w:val="007D301A"/>
    <w:rsid w:val="007D3FF9"/>
    <w:rsid w:val="007E49D6"/>
    <w:rsid w:val="007F420F"/>
    <w:rsid w:val="00804D38"/>
    <w:rsid w:val="0080688B"/>
    <w:rsid w:val="0080799C"/>
    <w:rsid w:val="00810A81"/>
    <w:rsid w:val="008203B2"/>
    <w:rsid w:val="008247AA"/>
    <w:rsid w:val="00831C14"/>
    <w:rsid w:val="0083625E"/>
    <w:rsid w:val="008370EC"/>
    <w:rsid w:val="008606B2"/>
    <w:rsid w:val="00865817"/>
    <w:rsid w:val="00876B62"/>
    <w:rsid w:val="00885A58"/>
    <w:rsid w:val="008A1239"/>
    <w:rsid w:val="008A1AAA"/>
    <w:rsid w:val="008B1391"/>
    <w:rsid w:val="008B44B4"/>
    <w:rsid w:val="008B59BF"/>
    <w:rsid w:val="008B5D41"/>
    <w:rsid w:val="008C26B3"/>
    <w:rsid w:val="008C4D67"/>
    <w:rsid w:val="008D2635"/>
    <w:rsid w:val="008D3052"/>
    <w:rsid w:val="008E4043"/>
    <w:rsid w:val="008E61E2"/>
    <w:rsid w:val="008F4F49"/>
    <w:rsid w:val="008F6B33"/>
    <w:rsid w:val="008F6B5E"/>
    <w:rsid w:val="00905349"/>
    <w:rsid w:val="0090677D"/>
    <w:rsid w:val="0091239D"/>
    <w:rsid w:val="009214EE"/>
    <w:rsid w:val="00922C0E"/>
    <w:rsid w:val="00925D20"/>
    <w:rsid w:val="00926ACE"/>
    <w:rsid w:val="00926AF5"/>
    <w:rsid w:val="0093012E"/>
    <w:rsid w:val="009316CC"/>
    <w:rsid w:val="009320FA"/>
    <w:rsid w:val="00934CA1"/>
    <w:rsid w:val="00942BE9"/>
    <w:rsid w:val="009457F2"/>
    <w:rsid w:val="009574BD"/>
    <w:rsid w:val="00960D54"/>
    <w:rsid w:val="009619CD"/>
    <w:rsid w:val="0096331D"/>
    <w:rsid w:val="009806D0"/>
    <w:rsid w:val="009843EF"/>
    <w:rsid w:val="00993C33"/>
    <w:rsid w:val="009971E6"/>
    <w:rsid w:val="009A4292"/>
    <w:rsid w:val="009B1BDE"/>
    <w:rsid w:val="009C14B2"/>
    <w:rsid w:val="009C2FB7"/>
    <w:rsid w:val="009D5962"/>
    <w:rsid w:val="009E2082"/>
    <w:rsid w:val="009E6A42"/>
    <w:rsid w:val="009F2089"/>
    <w:rsid w:val="00A12FD0"/>
    <w:rsid w:val="00A14DF8"/>
    <w:rsid w:val="00A20F34"/>
    <w:rsid w:val="00A24191"/>
    <w:rsid w:val="00A256DD"/>
    <w:rsid w:val="00A25FD6"/>
    <w:rsid w:val="00A34E71"/>
    <w:rsid w:val="00A34E8F"/>
    <w:rsid w:val="00A43C48"/>
    <w:rsid w:val="00A46DEA"/>
    <w:rsid w:val="00A518D7"/>
    <w:rsid w:val="00A567BC"/>
    <w:rsid w:val="00A717C7"/>
    <w:rsid w:val="00A745DF"/>
    <w:rsid w:val="00A77490"/>
    <w:rsid w:val="00A96FAB"/>
    <w:rsid w:val="00A97910"/>
    <w:rsid w:val="00AA28FA"/>
    <w:rsid w:val="00AB2C46"/>
    <w:rsid w:val="00AC2D1B"/>
    <w:rsid w:val="00AD30A4"/>
    <w:rsid w:val="00AD6671"/>
    <w:rsid w:val="00AE2A11"/>
    <w:rsid w:val="00AE349B"/>
    <w:rsid w:val="00B018F8"/>
    <w:rsid w:val="00B05DB0"/>
    <w:rsid w:val="00B06342"/>
    <w:rsid w:val="00B070B0"/>
    <w:rsid w:val="00B25574"/>
    <w:rsid w:val="00B25C14"/>
    <w:rsid w:val="00B26E81"/>
    <w:rsid w:val="00B356EC"/>
    <w:rsid w:val="00B36959"/>
    <w:rsid w:val="00B36BE7"/>
    <w:rsid w:val="00B463DE"/>
    <w:rsid w:val="00B53054"/>
    <w:rsid w:val="00B53346"/>
    <w:rsid w:val="00B56EE3"/>
    <w:rsid w:val="00B725F5"/>
    <w:rsid w:val="00B73C79"/>
    <w:rsid w:val="00B7444A"/>
    <w:rsid w:val="00B817B9"/>
    <w:rsid w:val="00B84A49"/>
    <w:rsid w:val="00B90640"/>
    <w:rsid w:val="00B90D7C"/>
    <w:rsid w:val="00B9624F"/>
    <w:rsid w:val="00B96282"/>
    <w:rsid w:val="00BA4824"/>
    <w:rsid w:val="00BB3CA9"/>
    <w:rsid w:val="00BB7831"/>
    <w:rsid w:val="00BB7C77"/>
    <w:rsid w:val="00BC1EF0"/>
    <w:rsid w:val="00BC3607"/>
    <w:rsid w:val="00BD15A5"/>
    <w:rsid w:val="00BD2EC8"/>
    <w:rsid w:val="00BD5921"/>
    <w:rsid w:val="00BD6996"/>
    <w:rsid w:val="00BE4FAF"/>
    <w:rsid w:val="00BF1F73"/>
    <w:rsid w:val="00BF3F15"/>
    <w:rsid w:val="00C00926"/>
    <w:rsid w:val="00C14571"/>
    <w:rsid w:val="00C157E2"/>
    <w:rsid w:val="00C26218"/>
    <w:rsid w:val="00C26C35"/>
    <w:rsid w:val="00C33B63"/>
    <w:rsid w:val="00C36510"/>
    <w:rsid w:val="00C46685"/>
    <w:rsid w:val="00C5092F"/>
    <w:rsid w:val="00C517D2"/>
    <w:rsid w:val="00C6229E"/>
    <w:rsid w:val="00C6443F"/>
    <w:rsid w:val="00C64C13"/>
    <w:rsid w:val="00C77835"/>
    <w:rsid w:val="00C81BB4"/>
    <w:rsid w:val="00C86C8F"/>
    <w:rsid w:val="00C967C2"/>
    <w:rsid w:val="00C9767B"/>
    <w:rsid w:val="00CA5424"/>
    <w:rsid w:val="00CA6F5D"/>
    <w:rsid w:val="00CD4897"/>
    <w:rsid w:val="00CE2DD8"/>
    <w:rsid w:val="00CE5C0C"/>
    <w:rsid w:val="00CE6FBD"/>
    <w:rsid w:val="00D071E1"/>
    <w:rsid w:val="00D121C3"/>
    <w:rsid w:val="00D168BB"/>
    <w:rsid w:val="00D23886"/>
    <w:rsid w:val="00D27CB2"/>
    <w:rsid w:val="00D33DA3"/>
    <w:rsid w:val="00D37CAB"/>
    <w:rsid w:val="00D40BD0"/>
    <w:rsid w:val="00D4117A"/>
    <w:rsid w:val="00D45E3B"/>
    <w:rsid w:val="00D46D86"/>
    <w:rsid w:val="00D472C0"/>
    <w:rsid w:val="00D50CD8"/>
    <w:rsid w:val="00D5417A"/>
    <w:rsid w:val="00D622BB"/>
    <w:rsid w:val="00D65173"/>
    <w:rsid w:val="00D7392B"/>
    <w:rsid w:val="00D835A8"/>
    <w:rsid w:val="00D8430E"/>
    <w:rsid w:val="00D92DA2"/>
    <w:rsid w:val="00DA227D"/>
    <w:rsid w:val="00DA41A2"/>
    <w:rsid w:val="00DC0BCB"/>
    <w:rsid w:val="00DC668D"/>
    <w:rsid w:val="00DD109D"/>
    <w:rsid w:val="00DD1A1C"/>
    <w:rsid w:val="00DD5998"/>
    <w:rsid w:val="00DD6178"/>
    <w:rsid w:val="00DD619B"/>
    <w:rsid w:val="00DE0B91"/>
    <w:rsid w:val="00DE11C3"/>
    <w:rsid w:val="00DE1F34"/>
    <w:rsid w:val="00DF6D68"/>
    <w:rsid w:val="00DF74C6"/>
    <w:rsid w:val="00E02E9C"/>
    <w:rsid w:val="00E02F2C"/>
    <w:rsid w:val="00E047FA"/>
    <w:rsid w:val="00E04DF2"/>
    <w:rsid w:val="00E07BB4"/>
    <w:rsid w:val="00E2093A"/>
    <w:rsid w:val="00E213FD"/>
    <w:rsid w:val="00E218E0"/>
    <w:rsid w:val="00E268BA"/>
    <w:rsid w:val="00E338D5"/>
    <w:rsid w:val="00E45AC7"/>
    <w:rsid w:val="00E5251F"/>
    <w:rsid w:val="00E633DE"/>
    <w:rsid w:val="00E64212"/>
    <w:rsid w:val="00E66878"/>
    <w:rsid w:val="00E733CC"/>
    <w:rsid w:val="00E74DA4"/>
    <w:rsid w:val="00E81A15"/>
    <w:rsid w:val="00E81FB4"/>
    <w:rsid w:val="00E85E42"/>
    <w:rsid w:val="00E87400"/>
    <w:rsid w:val="00E9381E"/>
    <w:rsid w:val="00EA529C"/>
    <w:rsid w:val="00EB341B"/>
    <w:rsid w:val="00EC3CF0"/>
    <w:rsid w:val="00EC4FD3"/>
    <w:rsid w:val="00ED04A8"/>
    <w:rsid w:val="00ED4C14"/>
    <w:rsid w:val="00EE00C6"/>
    <w:rsid w:val="00EE1ED9"/>
    <w:rsid w:val="00EE3C35"/>
    <w:rsid w:val="00EE5FED"/>
    <w:rsid w:val="00EE6AA0"/>
    <w:rsid w:val="00EE7986"/>
    <w:rsid w:val="00F13BE8"/>
    <w:rsid w:val="00F15362"/>
    <w:rsid w:val="00F242E3"/>
    <w:rsid w:val="00F3032A"/>
    <w:rsid w:val="00F32200"/>
    <w:rsid w:val="00F32A27"/>
    <w:rsid w:val="00F45E91"/>
    <w:rsid w:val="00F508D7"/>
    <w:rsid w:val="00F56104"/>
    <w:rsid w:val="00F56726"/>
    <w:rsid w:val="00F6434F"/>
    <w:rsid w:val="00F67CC0"/>
    <w:rsid w:val="00F7620E"/>
    <w:rsid w:val="00F85552"/>
    <w:rsid w:val="00F87590"/>
    <w:rsid w:val="00FA41E1"/>
    <w:rsid w:val="00FA69F6"/>
    <w:rsid w:val="00FA7842"/>
    <w:rsid w:val="00FB5E33"/>
    <w:rsid w:val="00FC0FFB"/>
    <w:rsid w:val="00FC2531"/>
    <w:rsid w:val="00FC409F"/>
    <w:rsid w:val="00FC41E1"/>
    <w:rsid w:val="00FC421E"/>
    <w:rsid w:val="00FD207E"/>
    <w:rsid w:val="00FD71DF"/>
    <w:rsid w:val="00FD771F"/>
    <w:rsid w:val="00FD7FF1"/>
    <w:rsid w:val="00FE19B1"/>
    <w:rsid w:val="00FE25CC"/>
    <w:rsid w:val="00FE3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F2A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851"/>
  </w:style>
  <w:style w:type="paragraph" w:styleId="Footer">
    <w:name w:val="footer"/>
    <w:basedOn w:val="Normal"/>
    <w:link w:val="FooterChar"/>
    <w:uiPriority w:val="99"/>
    <w:unhideWhenUsed/>
    <w:rsid w:val="002B3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851"/>
  </w:style>
  <w:style w:type="table" w:styleId="TableGrid">
    <w:name w:val="Table Grid"/>
    <w:basedOn w:val="TableNormal"/>
    <w:uiPriority w:val="39"/>
    <w:rsid w:val="002B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D8A"/>
    <w:pPr>
      <w:ind w:left="720"/>
      <w:contextualSpacing/>
    </w:pPr>
  </w:style>
  <w:style w:type="paragraph" w:styleId="BalloonText">
    <w:name w:val="Balloon Text"/>
    <w:basedOn w:val="Normal"/>
    <w:link w:val="BalloonTextChar"/>
    <w:uiPriority w:val="99"/>
    <w:semiHidden/>
    <w:unhideWhenUsed/>
    <w:rsid w:val="00860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B2"/>
    <w:rPr>
      <w:rFonts w:ascii="Segoe UI" w:hAnsi="Segoe UI" w:cs="Segoe UI"/>
      <w:sz w:val="18"/>
      <w:szCs w:val="18"/>
    </w:rPr>
  </w:style>
  <w:style w:type="character" w:styleId="Hyperlink">
    <w:name w:val="Hyperlink"/>
    <w:basedOn w:val="DefaultParagraphFont"/>
    <w:uiPriority w:val="99"/>
    <w:unhideWhenUsed/>
    <w:rsid w:val="00A518D7"/>
    <w:rPr>
      <w:color w:val="0563C1" w:themeColor="hyperlink"/>
      <w:u w:val="single"/>
    </w:rPr>
  </w:style>
  <w:style w:type="character" w:styleId="PlaceholderText">
    <w:name w:val="Placeholder Text"/>
    <w:basedOn w:val="DefaultParagraphFont"/>
    <w:uiPriority w:val="99"/>
    <w:semiHidden/>
    <w:rsid w:val="000C428B"/>
    <w:rPr>
      <w:color w:val="808080"/>
    </w:rPr>
  </w:style>
  <w:style w:type="character" w:styleId="CommentReference">
    <w:name w:val="annotation reference"/>
    <w:basedOn w:val="DefaultParagraphFont"/>
    <w:uiPriority w:val="99"/>
    <w:semiHidden/>
    <w:unhideWhenUsed/>
    <w:rsid w:val="00B56EE3"/>
    <w:rPr>
      <w:sz w:val="18"/>
      <w:szCs w:val="18"/>
    </w:rPr>
  </w:style>
  <w:style w:type="paragraph" w:styleId="CommentText">
    <w:name w:val="annotation text"/>
    <w:basedOn w:val="Normal"/>
    <w:link w:val="CommentTextChar"/>
    <w:uiPriority w:val="99"/>
    <w:semiHidden/>
    <w:unhideWhenUsed/>
    <w:rsid w:val="00B56EE3"/>
    <w:pPr>
      <w:spacing w:line="240" w:lineRule="auto"/>
    </w:pPr>
    <w:rPr>
      <w:sz w:val="24"/>
      <w:szCs w:val="24"/>
    </w:rPr>
  </w:style>
  <w:style w:type="character" w:customStyle="1" w:styleId="CommentTextChar">
    <w:name w:val="Comment Text Char"/>
    <w:basedOn w:val="DefaultParagraphFont"/>
    <w:link w:val="CommentText"/>
    <w:uiPriority w:val="99"/>
    <w:semiHidden/>
    <w:rsid w:val="00B56EE3"/>
    <w:rPr>
      <w:sz w:val="24"/>
      <w:szCs w:val="24"/>
    </w:rPr>
  </w:style>
  <w:style w:type="paragraph" w:styleId="CommentSubject">
    <w:name w:val="annotation subject"/>
    <w:basedOn w:val="CommentText"/>
    <w:next w:val="CommentText"/>
    <w:link w:val="CommentSubjectChar"/>
    <w:uiPriority w:val="99"/>
    <w:semiHidden/>
    <w:unhideWhenUsed/>
    <w:rsid w:val="00B56EE3"/>
    <w:rPr>
      <w:b/>
      <w:bCs/>
      <w:sz w:val="20"/>
      <w:szCs w:val="20"/>
    </w:rPr>
  </w:style>
  <w:style w:type="character" w:customStyle="1" w:styleId="CommentSubjectChar">
    <w:name w:val="Comment Subject Char"/>
    <w:basedOn w:val="CommentTextChar"/>
    <w:link w:val="CommentSubject"/>
    <w:uiPriority w:val="99"/>
    <w:semiHidden/>
    <w:rsid w:val="00B56EE3"/>
    <w:rPr>
      <w:b/>
      <w:bCs/>
      <w:sz w:val="20"/>
      <w:szCs w:val="20"/>
    </w:rPr>
  </w:style>
  <w:style w:type="character" w:styleId="FollowedHyperlink">
    <w:name w:val="FollowedHyperlink"/>
    <w:basedOn w:val="DefaultParagraphFont"/>
    <w:uiPriority w:val="99"/>
    <w:semiHidden/>
    <w:unhideWhenUsed/>
    <w:rsid w:val="00176415"/>
    <w:rPr>
      <w:color w:val="954F72" w:themeColor="followedHyperlink"/>
      <w:u w:val="single"/>
    </w:rPr>
  </w:style>
  <w:style w:type="character" w:styleId="UnresolvedMention">
    <w:name w:val="Unresolved Mention"/>
    <w:basedOn w:val="DefaultParagraphFont"/>
    <w:uiPriority w:val="99"/>
    <w:semiHidden/>
    <w:unhideWhenUsed/>
    <w:rsid w:val="00782BDA"/>
    <w:rPr>
      <w:color w:val="605E5C"/>
      <w:shd w:val="clear" w:color="auto" w:fill="E1DFDD"/>
    </w:rPr>
  </w:style>
  <w:style w:type="character" w:customStyle="1" w:styleId="apple-converted-space">
    <w:name w:val="apple-converted-space"/>
    <w:basedOn w:val="DefaultParagraphFont"/>
    <w:rsid w:val="003F1BE7"/>
  </w:style>
  <w:style w:type="paragraph" w:styleId="Revision">
    <w:name w:val="Revision"/>
    <w:hidden/>
    <w:uiPriority w:val="99"/>
    <w:semiHidden/>
    <w:rsid w:val="00837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939">
      <w:bodyDiv w:val="1"/>
      <w:marLeft w:val="0"/>
      <w:marRight w:val="0"/>
      <w:marTop w:val="0"/>
      <w:marBottom w:val="0"/>
      <w:divBdr>
        <w:top w:val="none" w:sz="0" w:space="0" w:color="auto"/>
        <w:left w:val="none" w:sz="0" w:space="0" w:color="auto"/>
        <w:bottom w:val="none" w:sz="0" w:space="0" w:color="auto"/>
        <w:right w:val="none" w:sz="0" w:space="0" w:color="auto"/>
      </w:divBdr>
    </w:div>
    <w:div w:id="340008928">
      <w:bodyDiv w:val="1"/>
      <w:marLeft w:val="0"/>
      <w:marRight w:val="0"/>
      <w:marTop w:val="0"/>
      <w:marBottom w:val="0"/>
      <w:divBdr>
        <w:top w:val="none" w:sz="0" w:space="0" w:color="auto"/>
        <w:left w:val="none" w:sz="0" w:space="0" w:color="auto"/>
        <w:bottom w:val="none" w:sz="0" w:space="0" w:color="auto"/>
        <w:right w:val="none" w:sz="0" w:space="0" w:color="auto"/>
      </w:divBdr>
      <w:divsChild>
        <w:div w:id="564489127">
          <w:marLeft w:val="0"/>
          <w:marRight w:val="0"/>
          <w:marTop w:val="0"/>
          <w:marBottom w:val="0"/>
          <w:divBdr>
            <w:top w:val="none" w:sz="0" w:space="0" w:color="auto"/>
            <w:left w:val="none" w:sz="0" w:space="0" w:color="auto"/>
            <w:bottom w:val="none" w:sz="0" w:space="0" w:color="auto"/>
            <w:right w:val="none" w:sz="0" w:space="0" w:color="auto"/>
          </w:divBdr>
          <w:divsChild>
            <w:div w:id="28648208">
              <w:marLeft w:val="0"/>
              <w:marRight w:val="0"/>
              <w:marTop w:val="0"/>
              <w:marBottom w:val="0"/>
              <w:divBdr>
                <w:top w:val="none" w:sz="0" w:space="0" w:color="auto"/>
                <w:left w:val="none" w:sz="0" w:space="0" w:color="auto"/>
                <w:bottom w:val="none" w:sz="0" w:space="0" w:color="auto"/>
                <w:right w:val="none" w:sz="0" w:space="0" w:color="auto"/>
              </w:divBdr>
              <w:divsChild>
                <w:div w:id="12231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69897">
      <w:bodyDiv w:val="1"/>
      <w:marLeft w:val="0"/>
      <w:marRight w:val="0"/>
      <w:marTop w:val="0"/>
      <w:marBottom w:val="0"/>
      <w:divBdr>
        <w:top w:val="none" w:sz="0" w:space="0" w:color="auto"/>
        <w:left w:val="none" w:sz="0" w:space="0" w:color="auto"/>
        <w:bottom w:val="none" w:sz="0" w:space="0" w:color="auto"/>
        <w:right w:val="none" w:sz="0" w:space="0" w:color="auto"/>
      </w:divBdr>
    </w:div>
    <w:div w:id="448671028">
      <w:bodyDiv w:val="1"/>
      <w:marLeft w:val="0"/>
      <w:marRight w:val="0"/>
      <w:marTop w:val="0"/>
      <w:marBottom w:val="0"/>
      <w:divBdr>
        <w:top w:val="none" w:sz="0" w:space="0" w:color="auto"/>
        <w:left w:val="none" w:sz="0" w:space="0" w:color="auto"/>
        <w:bottom w:val="none" w:sz="0" w:space="0" w:color="auto"/>
        <w:right w:val="none" w:sz="0" w:space="0" w:color="auto"/>
      </w:divBdr>
    </w:div>
    <w:div w:id="1290746232">
      <w:bodyDiv w:val="1"/>
      <w:marLeft w:val="0"/>
      <w:marRight w:val="0"/>
      <w:marTop w:val="0"/>
      <w:marBottom w:val="0"/>
      <w:divBdr>
        <w:top w:val="none" w:sz="0" w:space="0" w:color="auto"/>
        <w:left w:val="none" w:sz="0" w:space="0" w:color="auto"/>
        <w:bottom w:val="none" w:sz="0" w:space="0" w:color="auto"/>
        <w:right w:val="none" w:sz="0" w:space="0" w:color="auto"/>
      </w:divBdr>
      <w:divsChild>
        <w:div w:id="1729650299">
          <w:marLeft w:val="0"/>
          <w:marRight w:val="0"/>
          <w:marTop w:val="0"/>
          <w:marBottom w:val="0"/>
          <w:divBdr>
            <w:top w:val="none" w:sz="0" w:space="0" w:color="auto"/>
            <w:left w:val="none" w:sz="0" w:space="0" w:color="auto"/>
            <w:bottom w:val="none" w:sz="0" w:space="0" w:color="auto"/>
            <w:right w:val="none" w:sz="0" w:space="0" w:color="auto"/>
          </w:divBdr>
        </w:div>
        <w:div w:id="974137232">
          <w:marLeft w:val="0"/>
          <w:marRight w:val="0"/>
          <w:marTop w:val="0"/>
          <w:marBottom w:val="0"/>
          <w:divBdr>
            <w:top w:val="none" w:sz="0" w:space="0" w:color="auto"/>
            <w:left w:val="none" w:sz="0" w:space="0" w:color="auto"/>
            <w:bottom w:val="none" w:sz="0" w:space="0" w:color="auto"/>
            <w:right w:val="none" w:sz="0" w:space="0" w:color="auto"/>
          </w:divBdr>
        </w:div>
      </w:divsChild>
    </w:div>
    <w:div w:id="1583639227">
      <w:bodyDiv w:val="1"/>
      <w:marLeft w:val="0"/>
      <w:marRight w:val="0"/>
      <w:marTop w:val="0"/>
      <w:marBottom w:val="0"/>
      <w:divBdr>
        <w:top w:val="none" w:sz="0" w:space="0" w:color="auto"/>
        <w:left w:val="none" w:sz="0" w:space="0" w:color="auto"/>
        <w:bottom w:val="none" w:sz="0" w:space="0" w:color="auto"/>
        <w:right w:val="none" w:sz="0" w:space="0" w:color="auto"/>
      </w:divBdr>
      <w:divsChild>
        <w:div w:id="440611399">
          <w:marLeft w:val="0"/>
          <w:marRight w:val="0"/>
          <w:marTop w:val="0"/>
          <w:marBottom w:val="0"/>
          <w:divBdr>
            <w:top w:val="none" w:sz="0" w:space="0" w:color="auto"/>
            <w:left w:val="none" w:sz="0" w:space="0" w:color="auto"/>
            <w:bottom w:val="none" w:sz="0" w:space="0" w:color="auto"/>
            <w:right w:val="none" w:sz="0" w:space="0" w:color="auto"/>
          </w:divBdr>
          <w:divsChild>
            <w:div w:id="1028413070">
              <w:marLeft w:val="0"/>
              <w:marRight w:val="0"/>
              <w:marTop w:val="0"/>
              <w:marBottom w:val="0"/>
              <w:divBdr>
                <w:top w:val="none" w:sz="0" w:space="0" w:color="auto"/>
                <w:left w:val="none" w:sz="0" w:space="0" w:color="auto"/>
                <w:bottom w:val="none" w:sz="0" w:space="0" w:color="auto"/>
                <w:right w:val="none" w:sz="0" w:space="0" w:color="auto"/>
              </w:divBdr>
              <w:divsChild>
                <w:div w:id="4522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4632">
      <w:bodyDiv w:val="1"/>
      <w:marLeft w:val="0"/>
      <w:marRight w:val="0"/>
      <w:marTop w:val="0"/>
      <w:marBottom w:val="0"/>
      <w:divBdr>
        <w:top w:val="none" w:sz="0" w:space="0" w:color="auto"/>
        <w:left w:val="none" w:sz="0" w:space="0" w:color="auto"/>
        <w:bottom w:val="none" w:sz="0" w:space="0" w:color="auto"/>
        <w:right w:val="none" w:sz="0" w:space="0" w:color="auto"/>
      </w:divBdr>
    </w:div>
    <w:div w:id="1972133708">
      <w:bodyDiv w:val="1"/>
      <w:marLeft w:val="0"/>
      <w:marRight w:val="0"/>
      <w:marTop w:val="0"/>
      <w:marBottom w:val="0"/>
      <w:divBdr>
        <w:top w:val="none" w:sz="0" w:space="0" w:color="auto"/>
        <w:left w:val="none" w:sz="0" w:space="0" w:color="auto"/>
        <w:bottom w:val="none" w:sz="0" w:space="0" w:color="auto"/>
        <w:right w:val="none" w:sz="0" w:space="0" w:color="auto"/>
      </w:divBdr>
    </w:div>
    <w:div w:id="2023821208">
      <w:bodyDiv w:val="1"/>
      <w:marLeft w:val="0"/>
      <w:marRight w:val="0"/>
      <w:marTop w:val="0"/>
      <w:marBottom w:val="0"/>
      <w:divBdr>
        <w:top w:val="none" w:sz="0" w:space="0" w:color="auto"/>
        <w:left w:val="none" w:sz="0" w:space="0" w:color="auto"/>
        <w:bottom w:val="none" w:sz="0" w:space="0" w:color="auto"/>
        <w:right w:val="none" w:sz="0" w:space="0" w:color="auto"/>
      </w:divBdr>
    </w:div>
    <w:div w:id="2065055494">
      <w:bodyDiv w:val="1"/>
      <w:marLeft w:val="0"/>
      <w:marRight w:val="0"/>
      <w:marTop w:val="0"/>
      <w:marBottom w:val="0"/>
      <w:divBdr>
        <w:top w:val="none" w:sz="0" w:space="0" w:color="auto"/>
        <w:left w:val="none" w:sz="0" w:space="0" w:color="auto"/>
        <w:bottom w:val="none" w:sz="0" w:space="0" w:color="auto"/>
        <w:right w:val="none" w:sz="0" w:space="0" w:color="auto"/>
      </w:divBdr>
      <w:divsChild>
        <w:div w:id="1331912764">
          <w:marLeft w:val="0"/>
          <w:marRight w:val="0"/>
          <w:marTop w:val="0"/>
          <w:marBottom w:val="0"/>
          <w:divBdr>
            <w:top w:val="none" w:sz="0" w:space="0" w:color="auto"/>
            <w:left w:val="none" w:sz="0" w:space="0" w:color="auto"/>
            <w:bottom w:val="none" w:sz="0" w:space="0" w:color="auto"/>
            <w:right w:val="none" w:sz="0" w:space="0" w:color="auto"/>
          </w:divBdr>
          <w:divsChild>
            <w:div w:id="244150092">
              <w:marLeft w:val="0"/>
              <w:marRight w:val="0"/>
              <w:marTop w:val="0"/>
              <w:marBottom w:val="0"/>
              <w:divBdr>
                <w:top w:val="none" w:sz="0" w:space="0" w:color="auto"/>
                <w:left w:val="none" w:sz="0" w:space="0" w:color="auto"/>
                <w:bottom w:val="none" w:sz="0" w:space="0" w:color="auto"/>
                <w:right w:val="none" w:sz="0" w:space="0" w:color="auto"/>
              </w:divBdr>
              <w:divsChild>
                <w:div w:id="18460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7187">
      <w:bodyDiv w:val="1"/>
      <w:marLeft w:val="0"/>
      <w:marRight w:val="0"/>
      <w:marTop w:val="0"/>
      <w:marBottom w:val="0"/>
      <w:divBdr>
        <w:top w:val="none" w:sz="0" w:space="0" w:color="auto"/>
        <w:left w:val="none" w:sz="0" w:space="0" w:color="auto"/>
        <w:bottom w:val="none" w:sz="0" w:space="0" w:color="auto"/>
        <w:right w:val="none" w:sz="0" w:space="0" w:color="auto"/>
      </w:divBdr>
    </w:div>
    <w:div w:id="209901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homeaffairs.gov.au/travel-restrictions" TargetMode="External"/><Relationship Id="rId13" Type="http://schemas.openxmlformats.org/officeDocument/2006/relationships/hyperlink" Target="https://policies.acu.edu.au/student_policies/higher_degree_research_regulations" TargetMode="External"/><Relationship Id="rId18" Type="http://schemas.openxmlformats.org/officeDocument/2006/relationships/hyperlink" Target="https://covid19.homeaffairs.gov.au/travel-restric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qld.gov.au/health/conditions/health-alerts/coronavirus-covid-19/protect-yourself-others/quarantine/fees-payment" TargetMode="External"/><Relationship Id="rId7" Type="http://schemas.openxmlformats.org/officeDocument/2006/relationships/endnotes" Target="endnotes.xml"/><Relationship Id="rId12" Type="http://schemas.openxmlformats.org/officeDocument/2006/relationships/hyperlink" Target="mailto:res.cand@acu.edu.au" TargetMode="External"/><Relationship Id="rId17" Type="http://schemas.openxmlformats.org/officeDocument/2006/relationships/hyperlink" Target="https://immi.homeaffairs.gov.au/visas/getting-a-visa/visa-processing-times/global-visa-processing-tim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vid19.homeaffairs.gov.au/travel-restrictions" TargetMode="External"/><Relationship Id="rId20" Type="http://schemas.openxmlformats.org/officeDocument/2006/relationships/hyperlink" Target="https://www.revenue.nsw.gov.au/news-media-releases/covid-19-tax-relief-measures/quarantine-f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u.edu.au/study-at-acu/important-dates/semester-term-trimester-dat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cu.edu.au/-/media/feature/pagecontent/richtext/research-at-acu/become-a-research-candidate/rtp-allowance-scholarship-relocation-application-form_20210621.docx?la=en&amp;hash=8A0B998B438B788413E1D7E7DDF660C2" TargetMode="External"/><Relationship Id="rId23" Type="http://schemas.openxmlformats.org/officeDocument/2006/relationships/header" Target="header1.xml"/><Relationship Id="rId10" Type="http://schemas.openxmlformats.org/officeDocument/2006/relationships/hyperlink" Target="https://www.acu.edu.au/research/become-a-research-candidate/international-research-students" TargetMode="External"/><Relationship Id="rId19" Type="http://schemas.openxmlformats.org/officeDocument/2006/relationships/hyperlink" Target="https://www.coronavirus.vic.gov.au/hotel-quarantine-contribution-fee" TargetMode="External"/><Relationship Id="rId4" Type="http://schemas.openxmlformats.org/officeDocument/2006/relationships/settings" Target="settings.xml"/><Relationship Id="rId9" Type="http://schemas.openxmlformats.org/officeDocument/2006/relationships/hyperlink" Target="https://www.apra.gov.au/register-of-authorised-deposit-taking-institutions" TargetMode="External"/><Relationship Id="rId14" Type="http://schemas.openxmlformats.org/officeDocument/2006/relationships/hyperlink" Target="https://policies.acu.edu.au/research/general_policies/research_training_program_scholarship_polic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A54A-9402-49B8-BC4F-104505E1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Shaneen McGlinchey</dc:creator>
  <cp:lastModifiedBy>Catherine James</cp:lastModifiedBy>
  <cp:revision>3</cp:revision>
  <cp:lastPrinted>2016-10-25T03:35:00Z</cp:lastPrinted>
  <dcterms:created xsi:type="dcterms:W3CDTF">2021-08-29T23:15:00Z</dcterms:created>
  <dcterms:modified xsi:type="dcterms:W3CDTF">2021-08-29T23:16:00Z</dcterms:modified>
</cp:coreProperties>
</file>